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44" w:rsidRPr="00FA559B" w:rsidRDefault="00F20024" w:rsidP="00AC7D4D">
      <w:pPr>
        <w:spacing w:line="360" w:lineRule="auto"/>
        <w:rPr>
          <w:rFonts w:cs="Times New Roman"/>
          <w:b/>
          <w:szCs w:val="24"/>
        </w:rPr>
      </w:pPr>
      <w:bookmarkStart w:id="0" w:name="_GoBack"/>
      <w:bookmarkEnd w:id="0"/>
      <w:r w:rsidRPr="00FA559B">
        <w:rPr>
          <w:rFonts w:cs="Times New Roman"/>
          <w:b/>
          <w:szCs w:val="24"/>
        </w:rPr>
        <w:t>Approaching Charlotte Brontë in the Twenty-First Century</w:t>
      </w:r>
    </w:p>
    <w:p w:rsidR="00781E4F" w:rsidRDefault="00781E4F" w:rsidP="00FA559B">
      <w:pPr>
        <w:spacing w:line="360" w:lineRule="auto"/>
        <w:jc w:val="both"/>
        <w:rPr>
          <w:rFonts w:cs="Times New Roman"/>
          <w:color w:val="FF0000"/>
          <w:szCs w:val="24"/>
          <w:shd w:val="clear" w:color="auto" w:fill="FFFFFF"/>
        </w:rPr>
      </w:pPr>
    </w:p>
    <w:p w:rsidR="00B32556" w:rsidRDefault="00B32556" w:rsidP="002E7BCD">
      <w:pPr>
        <w:spacing w:line="360" w:lineRule="auto"/>
        <w:jc w:val="both"/>
        <w:rPr>
          <w:rFonts w:cs="Times New Roman"/>
          <w:szCs w:val="24"/>
          <w:shd w:val="clear" w:color="auto" w:fill="FFFFFF"/>
        </w:rPr>
      </w:pPr>
    </w:p>
    <w:p w:rsidR="00AC7D4D" w:rsidRDefault="00AC7D4D" w:rsidP="002E7BCD">
      <w:pPr>
        <w:spacing w:line="360" w:lineRule="auto"/>
        <w:jc w:val="both"/>
        <w:rPr>
          <w:rFonts w:cs="Times New Roman"/>
          <w:szCs w:val="24"/>
          <w:shd w:val="clear" w:color="auto" w:fill="FFFFFF"/>
        </w:rPr>
      </w:pPr>
    </w:p>
    <w:p w:rsidR="0026574F" w:rsidRDefault="00CD64BD" w:rsidP="002E7BCD">
      <w:pPr>
        <w:spacing w:line="360" w:lineRule="auto"/>
        <w:jc w:val="both"/>
        <w:rPr>
          <w:rFonts w:cs="Times New Roman"/>
          <w:szCs w:val="24"/>
        </w:rPr>
      </w:pPr>
      <w:r w:rsidRPr="00CD64BD">
        <w:rPr>
          <w:rFonts w:cs="Times New Roman"/>
          <w:szCs w:val="24"/>
          <w:shd w:val="clear" w:color="auto" w:fill="FFFFFF"/>
        </w:rPr>
        <w:t xml:space="preserve">In 1941 Fannie Ratchford complained that </w:t>
      </w:r>
      <w:r w:rsidR="00FF1AC5">
        <w:rPr>
          <w:rFonts w:cs="Times New Roman"/>
          <w:szCs w:val="24"/>
          <w:shd w:val="clear" w:color="auto" w:fill="FFFFFF"/>
        </w:rPr>
        <w:t xml:space="preserve">although </w:t>
      </w:r>
      <w:r w:rsidR="000D5252">
        <w:rPr>
          <w:rFonts w:cs="Times New Roman"/>
          <w:szCs w:val="24"/>
          <w:shd w:val="clear" w:color="auto" w:fill="FFFFFF"/>
        </w:rPr>
        <w:t>criticism</w:t>
      </w:r>
      <w:r w:rsidRPr="00CD64BD">
        <w:rPr>
          <w:rFonts w:cs="Times New Roman"/>
          <w:szCs w:val="24"/>
          <w:shd w:val="clear" w:color="auto" w:fill="FFFFFF"/>
        </w:rPr>
        <w:t xml:space="preserve"> of the </w:t>
      </w:r>
      <w:r>
        <w:rPr>
          <w:rFonts w:cs="Times New Roman"/>
          <w:szCs w:val="24"/>
        </w:rPr>
        <w:t>Brontës</w:t>
      </w:r>
      <w:r w:rsidR="00FD3DFB">
        <w:rPr>
          <w:rFonts w:cs="Times New Roman"/>
          <w:szCs w:val="24"/>
        </w:rPr>
        <w:t>’ work</w:t>
      </w:r>
      <w:r>
        <w:rPr>
          <w:rFonts w:cs="Times New Roman"/>
          <w:szCs w:val="24"/>
        </w:rPr>
        <w:t xml:space="preserve"> </w:t>
      </w:r>
      <w:r w:rsidR="00A00218">
        <w:rPr>
          <w:rFonts w:cs="Times New Roman"/>
          <w:szCs w:val="24"/>
        </w:rPr>
        <w:t>showed all signs of bei</w:t>
      </w:r>
      <w:r w:rsidR="00FF1AC5">
        <w:rPr>
          <w:rFonts w:cs="Times New Roman"/>
          <w:szCs w:val="24"/>
        </w:rPr>
        <w:t>n</w:t>
      </w:r>
      <w:r w:rsidR="00A00218">
        <w:rPr>
          <w:rFonts w:cs="Times New Roman"/>
          <w:szCs w:val="24"/>
        </w:rPr>
        <w:t>g</w:t>
      </w:r>
      <w:r w:rsidR="00926868">
        <w:rPr>
          <w:rFonts w:cs="Times New Roman"/>
          <w:szCs w:val="24"/>
        </w:rPr>
        <w:t xml:space="preserve"> ‘</w:t>
      </w:r>
      <w:r>
        <w:rPr>
          <w:rFonts w:cs="Times New Roman"/>
          <w:szCs w:val="24"/>
        </w:rPr>
        <w:t>exhausted</w:t>
      </w:r>
      <w:r w:rsidR="00FD3DFB">
        <w:rPr>
          <w:rFonts w:cs="Times New Roman"/>
          <w:szCs w:val="24"/>
        </w:rPr>
        <w:t>’,</w:t>
      </w:r>
      <w:r>
        <w:rPr>
          <w:rFonts w:cs="Times New Roman"/>
          <w:szCs w:val="24"/>
        </w:rPr>
        <w:t xml:space="preserve"> </w:t>
      </w:r>
      <w:r w:rsidR="00FF1AC5">
        <w:rPr>
          <w:rFonts w:cs="Times New Roman"/>
          <w:szCs w:val="24"/>
        </w:rPr>
        <w:t>‘</w:t>
      </w:r>
      <w:r>
        <w:rPr>
          <w:rFonts w:cs="Times New Roman"/>
          <w:szCs w:val="24"/>
        </w:rPr>
        <w:t>every year brings forth an undiminished quota of volumes colored by the literary or intel</w:t>
      </w:r>
      <w:r w:rsidR="00A00218">
        <w:rPr>
          <w:rFonts w:cs="Times New Roman"/>
          <w:szCs w:val="24"/>
        </w:rPr>
        <w:t>lectual fad of the moment’ (</w:t>
      </w:r>
      <w:r>
        <w:rPr>
          <w:rFonts w:cs="Times New Roman"/>
          <w:szCs w:val="24"/>
        </w:rPr>
        <w:t xml:space="preserve">ix-x). </w:t>
      </w:r>
      <w:r w:rsidR="00A10977">
        <w:rPr>
          <w:rFonts w:cs="Times New Roman"/>
          <w:szCs w:val="24"/>
        </w:rPr>
        <w:t>Hoping</w:t>
      </w:r>
      <w:r w:rsidR="00D45CE0">
        <w:rPr>
          <w:rFonts w:cs="Times New Roman"/>
          <w:szCs w:val="24"/>
        </w:rPr>
        <w:t xml:space="preserve"> that</w:t>
      </w:r>
      <w:r w:rsidR="00926868">
        <w:rPr>
          <w:rFonts w:cs="Times New Roman"/>
          <w:szCs w:val="24"/>
        </w:rPr>
        <w:t xml:space="preserve"> the early twentieth-century enthusiasm for psychological </w:t>
      </w:r>
      <w:r w:rsidR="00D45CE0">
        <w:rPr>
          <w:rFonts w:cs="Times New Roman"/>
          <w:szCs w:val="24"/>
        </w:rPr>
        <w:t xml:space="preserve">approaches </w:t>
      </w:r>
      <w:r w:rsidR="00926868">
        <w:rPr>
          <w:rFonts w:cs="Times New Roman"/>
          <w:szCs w:val="24"/>
        </w:rPr>
        <w:t xml:space="preserve">was </w:t>
      </w:r>
      <w:r w:rsidR="00FF1AC5">
        <w:rPr>
          <w:rFonts w:cs="Times New Roman"/>
          <w:szCs w:val="24"/>
        </w:rPr>
        <w:t xml:space="preserve">finally </w:t>
      </w:r>
      <w:r w:rsidR="00A10977">
        <w:rPr>
          <w:rFonts w:cs="Times New Roman"/>
          <w:szCs w:val="24"/>
        </w:rPr>
        <w:t>abating, Ratchford</w:t>
      </w:r>
      <w:r w:rsidR="00A00218">
        <w:rPr>
          <w:rFonts w:cs="Times New Roman"/>
          <w:szCs w:val="24"/>
        </w:rPr>
        <w:t xml:space="preserve"> expressed relief that</w:t>
      </w:r>
      <w:r w:rsidR="00926868">
        <w:rPr>
          <w:rFonts w:cs="Times New Roman"/>
          <w:szCs w:val="24"/>
        </w:rPr>
        <w:t xml:space="preserve"> </w:t>
      </w:r>
      <w:r>
        <w:rPr>
          <w:rFonts w:cs="Times New Roman"/>
          <w:szCs w:val="24"/>
        </w:rPr>
        <w:t>‘we are now emerging from an orgy of Freudian studies and psychoanalyses of Brontë complexes and repressions’</w:t>
      </w:r>
      <w:r w:rsidR="00A00218">
        <w:rPr>
          <w:rFonts w:cs="Times New Roman"/>
          <w:szCs w:val="24"/>
        </w:rPr>
        <w:t xml:space="preserve"> (</w:t>
      </w:r>
      <w:r>
        <w:rPr>
          <w:rFonts w:cs="Times New Roman"/>
          <w:szCs w:val="24"/>
        </w:rPr>
        <w:t xml:space="preserve">x). </w:t>
      </w:r>
      <w:r w:rsidR="00FD3DFB">
        <w:rPr>
          <w:rFonts w:cs="Times New Roman"/>
          <w:szCs w:val="24"/>
        </w:rPr>
        <w:t>S</w:t>
      </w:r>
      <w:r w:rsidR="00FF1AC5">
        <w:rPr>
          <w:rFonts w:cs="Times New Roman"/>
          <w:szCs w:val="24"/>
        </w:rPr>
        <w:t>ince the 1940s</w:t>
      </w:r>
      <w:r w:rsidR="00D45CE0">
        <w:rPr>
          <w:rFonts w:cs="Times New Roman"/>
          <w:szCs w:val="24"/>
        </w:rPr>
        <w:t xml:space="preserve"> </w:t>
      </w:r>
      <w:r w:rsidR="002150E4">
        <w:rPr>
          <w:rFonts w:cs="Times New Roman"/>
          <w:szCs w:val="24"/>
        </w:rPr>
        <w:t>critical</w:t>
      </w:r>
      <w:r w:rsidR="00D45CE0">
        <w:rPr>
          <w:rFonts w:cs="Times New Roman"/>
          <w:szCs w:val="24"/>
        </w:rPr>
        <w:t xml:space="preserve"> </w:t>
      </w:r>
      <w:r w:rsidR="00FD3DFB">
        <w:rPr>
          <w:rFonts w:cs="Times New Roman"/>
          <w:szCs w:val="24"/>
        </w:rPr>
        <w:t xml:space="preserve">developments in Brontë </w:t>
      </w:r>
      <w:r w:rsidR="0026574F">
        <w:rPr>
          <w:rFonts w:cs="Times New Roman"/>
          <w:szCs w:val="24"/>
        </w:rPr>
        <w:t>studies</w:t>
      </w:r>
      <w:r w:rsidR="00D45CE0">
        <w:rPr>
          <w:rFonts w:cs="Times New Roman"/>
          <w:szCs w:val="24"/>
        </w:rPr>
        <w:t xml:space="preserve"> </w:t>
      </w:r>
      <w:r w:rsidR="002150E4">
        <w:rPr>
          <w:rFonts w:cs="Times New Roman"/>
          <w:szCs w:val="24"/>
        </w:rPr>
        <w:t>have</w:t>
      </w:r>
      <w:r w:rsidR="002833E1">
        <w:rPr>
          <w:rFonts w:cs="Times New Roman"/>
          <w:szCs w:val="24"/>
        </w:rPr>
        <w:t xml:space="preserve"> </w:t>
      </w:r>
      <w:r w:rsidR="002150E4">
        <w:rPr>
          <w:rFonts w:cs="Times New Roman"/>
          <w:szCs w:val="24"/>
        </w:rPr>
        <w:t xml:space="preserve">diversified considerably </w:t>
      </w:r>
      <w:r w:rsidR="00D45CE0">
        <w:rPr>
          <w:rFonts w:cs="Times New Roman"/>
          <w:szCs w:val="24"/>
        </w:rPr>
        <w:t>and i</w:t>
      </w:r>
      <w:r>
        <w:rPr>
          <w:rFonts w:cs="Times New Roman"/>
          <w:szCs w:val="24"/>
        </w:rPr>
        <w:t>n the year of</w:t>
      </w:r>
      <w:r w:rsidR="000D5252">
        <w:rPr>
          <w:rFonts w:cs="Times New Roman"/>
          <w:szCs w:val="24"/>
        </w:rPr>
        <w:t xml:space="preserve"> </w:t>
      </w:r>
      <w:r w:rsidR="0026574F">
        <w:rPr>
          <w:rFonts w:cs="Times New Roman"/>
          <w:szCs w:val="24"/>
        </w:rPr>
        <w:t xml:space="preserve">Charlotte </w:t>
      </w:r>
      <w:r w:rsidR="000D5252">
        <w:rPr>
          <w:rFonts w:cs="Times New Roman"/>
          <w:szCs w:val="24"/>
        </w:rPr>
        <w:t>Brontë’s bicentenary</w:t>
      </w:r>
      <w:r>
        <w:rPr>
          <w:rFonts w:cs="Times New Roman"/>
          <w:szCs w:val="24"/>
        </w:rPr>
        <w:t xml:space="preserve"> we </w:t>
      </w:r>
      <w:r w:rsidR="0026574F">
        <w:rPr>
          <w:rFonts w:cs="Times New Roman"/>
          <w:szCs w:val="24"/>
        </w:rPr>
        <w:t>can</w:t>
      </w:r>
      <w:r w:rsidR="00D45CE0">
        <w:rPr>
          <w:rFonts w:cs="Times New Roman"/>
          <w:szCs w:val="24"/>
        </w:rPr>
        <w:t xml:space="preserve"> </w:t>
      </w:r>
      <w:r>
        <w:rPr>
          <w:rFonts w:cs="Times New Roman"/>
          <w:szCs w:val="24"/>
        </w:rPr>
        <w:t>look back on a voluminous body of criticism</w:t>
      </w:r>
      <w:r w:rsidR="00281899">
        <w:rPr>
          <w:rFonts w:cs="Times New Roman"/>
          <w:szCs w:val="24"/>
        </w:rPr>
        <w:t>.</w:t>
      </w:r>
      <w:r>
        <w:rPr>
          <w:rFonts w:cs="Times New Roman"/>
          <w:szCs w:val="24"/>
        </w:rPr>
        <w:t xml:space="preserve"> </w:t>
      </w:r>
      <w:r w:rsidR="002833E1">
        <w:rPr>
          <w:rFonts w:cs="Times New Roman"/>
          <w:szCs w:val="24"/>
        </w:rPr>
        <w:t xml:space="preserve">Today most new approaches to Charlotte Brontë’s work </w:t>
      </w:r>
      <w:r w:rsidR="00FD3DFB">
        <w:rPr>
          <w:rFonts w:cs="Times New Roman"/>
          <w:szCs w:val="24"/>
        </w:rPr>
        <w:t>are broadly</w:t>
      </w:r>
      <w:r w:rsidR="0026574F">
        <w:rPr>
          <w:rFonts w:cs="Times New Roman"/>
          <w:szCs w:val="24"/>
        </w:rPr>
        <w:t xml:space="preserve"> </w:t>
      </w:r>
      <w:r w:rsidR="00FD3DFB">
        <w:rPr>
          <w:rFonts w:cs="Times New Roman"/>
          <w:szCs w:val="24"/>
        </w:rPr>
        <w:t>historicist, whether they adopt</w:t>
      </w:r>
      <w:r w:rsidR="00724829">
        <w:rPr>
          <w:rFonts w:cs="Times New Roman"/>
          <w:szCs w:val="24"/>
        </w:rPr>
        <w:t xml:space="preserve"> the</w:t>
      </w:r>
      <w:r w:rsidR="0026574F">
        <w:rPr>
          <w:rFonts w:cs="Times New Roman"/>
          <w:szCs w:val="24"/>
        </w:rPr>
        <w:t xml:space="preserve"> perspectives of</w:t>
      </w:r>
      <w:r>
        <w:rPr>
          <w:rFonts w:cs="Times New Roman"/>
          <w:szCs w:val="24"/>
        </w:rPr>
        <w:t xml:space="preserve"> gen</w:t>
      </w:r>
      <w:r w:rsidR="00926868">
        <w:rPr>
          <w:rFonts w:cs="Times New Roman"/>
          <w:szCs w:val="24"/>
        </w:rPr>
        <w:t xml:space="preserve">der studies, </w:t>
      </w:r>
      <w:r w:rsidR="002833E1">
        <w:rPr>
          <w:rFonts w:cs="Times New Roman"/>
          <w:szCs w:val="24"/>
        </w:rPr>
        <w:t xml:space="preserve">postcolonial approaches, </w:t>
      </w:r>
      <w:r w:rsidR="00926868">
        <w:rPr>
          <w:rFonts w:cs="Times New Roman"/>
          <w:szCs w:val="24"/>
        </w:rPr>
        <w:t>disability studies</w:t>
      </w:r>
      <w:r w:rsidR="000D5252">
        <w:rPr>
          <w:rFonts w:cs="Times New Roman"/>
          <w:szCs w:val="24"/>
        </w:rPr>
        <w:t xml:space="preserve"> </w:t>
      </w:r>
      <w:r w:rsidR="00FD3DFB">
        <w:rPr>
          <w:rFonts w:cs="Times New Roman"/>
          <w:szCs w:val="24"/>
        </w:rPr>
        <w:t xml:space="preserve">or </w:t>
      </w:r>
      <w:r w:rsidR="000D5252">
        <w:rPr>
          <w:rFonts w:cs="Times New Roman"/>
          <w:szCs w:val="24"/>
        </w:rPr>
        <w:t>adaptation studies</w:t>
      </w:r>
      <w:r w:rsidR="00511B1B">
        <w:rPr>
          <w:rFonts w:cs="Times New Roman"/>
          <w:szCs w:val="24"/>
        </w:rPr>
        <w:t>.</w:t>
      </w:r>
      <w:r w:rsidR="00FD3DFB">
        <w:rPr>
          <w:rFonts w:cs="Times New Roman"/>
          <w:szCs w:val="24"/>
        </w:rPr>
        <w:t xml:space="preserve"> </w:t>
      </w:r>
      <w:r w:rsidR="00381745">
        <w:rPr>
          <w:rFonts w:cs="Times New Roman"/>
          <w:szCs w:val="24"/>
        </w:rPr>
        <w:t xml:space="preserve">New </w:t>
      </w:r>
      <w:r w:rsidR="00121552">
        <w:rPr>
          <w:rFonts w:cs="Times New Roman"/>
          <w:szCs w:val="24"/>
        </w:rPr>
        <w:t>Brontë scholarship is</w:t>
      </w:r>
      <w:r w:rsidR="00E97347">
        <w:rPr>
          <w:rFonts w:cs="Times New Roman"/>
          <w:szCs w:val="24"/>
        </w:rPr>
        <w:t xml:space="preserve"> </w:t>
      </w:r>
      <w:r w:rsidR="00381745">
        <w:rPr>
          <w:rFonts w:cs="Times New Roman"/>
          <w:szCs w:val="24"/>
        </w:rPr>
        <w:t xml:space="preserve">nevertheless </w:t>
      </w:r>
      <w:r w:rsidR="0026574F">
        <w:rPr>
          <w:rFonts w:cs="Times New Roman"/>
          <w:szCs w:val="24"/>
        </w:rPr>
        <w:t>haunted</w:t>
      </w:r>
      <w:r w:rsidR="00880B51">
        <w:rPr>
          <w:rFonts w:cs="Times New Roman"/>
          <w:szCs w:val="24"/>
        </w:rPr>
        <w:t>, even if only tangentially,</w:t>
      </w:r>
      <w:r w:rsidR="0026574F">
        <w:rPr>
          <w:rFonts w:cs="Times New Roman"/>
          <w:szCs w:val="24"/>
        </w:rPr>
        <w:t xml:space="preserve"> by three critical texts published between 1975 and 1985: Terry Eagleton’s </w:t>
      </w:r>
      <w:r w:rsidR="0026574F">
        <w:rPr>
          <w:rFonts w:cs="Times New Roman"/>
          <w:i/>
          <w:szCs w:val="24"/>
        </w:rPr>
        <w:t xml:space="preserve">Myths of Power: A Marxist Study of the </w:t>
      </w:r>
      <w:r w:rsidR="0026574F" w:rsidRPr="00021099">
        <w:rPr>
          <w:rFonts w:cs="Times New Roman"/>
          <w:i/>
          <w:szCs w:val="24"/>
        </w:rPr>
        <w:t>Brontës</w:t>
      </w:r>
      <w:r w:rsidR="00DF71DD">
        <w:rPr>
          <w:rFonts w:cs="Times New Roman"/>
          <w:i/>
          <w:szCs w:val="24"/>
        </w:rPr>
        <w:t xml:space="preserve"> </w:t>
      </w:r>
      <w:r w:rsidR="00DF71DD">
        <w:rPr>
          <w:rFonts w:cs="Times New Roman"/>
          <w:szCs w:val="24"/>
        </w:rPr>
        <w:t>(1975)</w:t>
      </w:r>
      <w:r w:rsidR="0026574F">
        <w:rPr>
          <w:rFonts w:cs="Times New Roman"/>
          <w:szCs w:val="24"/>
        </w:rPr>
        <w:t xml:space="preserve">; </w:t>
      </w:r>
      <w:r w:rsidR="0026574F" w:rsidRPr="00FA559B">
        <w:rPr>
          <w:rFonts w:cs="Times New Roman"/>
          <w:szCs w:val="24"/>
        </w:rPr>
        <w:t>Sandra Gilbert and Susan Gubar’s</w:t>
      </w:r>
      <w:r w:rsidR="0026574F">
        <w:rPr>
          <w:rFonts w:cs="Times New Roman"/>
          <w:szCs w:val="24"/>
        </w:rPr>
        <w:t>,</w:t>
      </w:r>
      <w:r w:rsidR="0026574F" w:rsidRPr="00FA559B">
        <w:rPr>
          <w:rFonts w:cs="Times New Roman"/>
          <w:i/>
          <w:szCs w:val="24"/>
        </w:rPr>
        <w:t xml:space="preserve"> The Madwoman in the Attic</w:t>
      </w:r>
      <w:r w:rsidR="00121552">
        <w:rPr>
          <w:rFonts w:cs="Times New Roman"/>
          <w:i/>
          <w:szCs w:val="24"/>
        </w:rPr>
        <w:t>: The Woman Writer and the Nineteenth-Century Literary Imagination</w:t>
      </w:r>
      <w:r w:rsidR="0026574F">
        <w:rPr>
          <w:rFonts w:cs="Times New Roman"/>
          <w:szCs w:val="24"/>
        </w:rPr>
        <w:t xml:space="preserve"> (1979), whose title references Bertha Mason, Rochester’s incarcerated and rejected wife in </w:t>
      </w:r>
      <w:r w:rsidR="0026574F">
        <w:rPr>
          <w:rFonts w:cs="Times New Roman"/>
          <w:i/>
          <w:szCs w:val="24"/>
        </w:rPr>
        <w:t>Jane Eyre</w:t>
      </w:r>
      <w:r w:rsidR="0026574F">
        <w:rPr>
          <w:rFonts w:cs="Times New Roman"/>
          <w:szCs w:val="24"/>
        </w:rPr>
        <w:t>; and Gayatri Chakravorty Spivak’s often reprinted discussion of Bertha as representative of the colonial other in her essay ‘Three Women’s Texts and a Critique of Imperialism’, first published in</w:t>
      </w:r>
      <w:r w:rsidR="00511B1B">
        <w:rPr>
          <w:rFonts w:cs="Times New Roman"/>
          <w:szCs w:val="24"/>
        </w:rPr>
        <w:t xml:space="preserve"> the journal</w:t>
      </w:r>
      <w:r w:rsidR="0026574F">
        <w:rPr>
          <w:rFonts w:cs="Times New Roman"/>
          <w:szCs w:val="24"/>
        </w:rPr>
        <w:t xml:space="preserve"> </w:t>
      </w:r>
      <w:r w:rsidR="0026574F">
        <w:rPr>
          <w:rFonts w:cs="Times New Roman"/>
          <w:i/>
          <w:szCs w:val="24"/>
        </w:rPr>
        <w:t xml:space="preserve">Critical Inquiry </w:t>
      </w:r>
      <w:r w:rsidR="0026574F">
        <w:rPr>
          <w:rFonts w:cs="Times New Roman"/>
          <w:szCs w:val="24"/>
        </w:rPr>
        <w:t xml:space="preserve">in 1985. These ground-breaking works of criticism, now considered classics of Marxist (Eagleton), feminist (Gilbert and Gubar) and postcolonial (Spivak) approaches to Charlotte Brontë’s work, </w:t>
      </w:r>
      <w:r w:rsidR="00E97347">
        <w:rPr>
          <w:rFonts w:cs="Times New Roman"/>
          <w:szCs w:val="24"/>
        </w:rPr>
        <w:t xml:space="preserve">continue to </w:t>
      </w:r>
      <w:r w:rsidR="0026574F">
        <w:rPr>
          <w:rFonts w:cs="Times New Roman"/>
          <w:szCs w:val="24"/>
        </w:rPr>
        <w:t xml:space="preserve">inform most critical conversations about </w:t>
      </w:r>
      <w:r w:rsidR="0026574F">
        <w:rPr>
          <w:rFonts w:cs="Times New Roman"/>
          <w:i/>
          <w:szCs w:val="24"/>
        </w:rPr>
        <w:t>Jane Eyre</w:t>
      </w:r>
      <w:r w:rsidR="00C36DFC">
        <w:rPr>
          <w:rFonts w:cs="Times New Roman"/>
          <w:szCs w:val="24"/>
        </w:rPr>
        <w:t>, a novel which</w:t>
      </w:r>
      <w:r w:rsidR="004859BC">
        <w:rPr>
          <w:rFonts w:cs="Times New Roman"/>
          <w:szCs w:val="24"/>
        </w:rPr>
        <w:t>, unsurprisingly given its cultural prominence,</w:t>
      </w:r>
      <w:r w:rsidR="00C36DFC">
        <w:rPr>
          <w:rFonts w:cs="Times New Roman"/>
          <w:szCs w:val="24"/>
        </w:rPr>
        <w:t xml:space="preserve"> continues to dominate Brontë studies today</w:t>
      </w:r>
      <w:r w:rsidR="0026574F">
        <w:rPr>
          <w:rFonts w:cs="Times New Roman"/>
          <w:szCs w:val="24"/>
        </w:rPr>
        <w:t>.</w:t>
      </w:r>
    </w:p>
    <w:p w:rsidR="0026574F" w:rsidRDefault="00E97347" w:rsidP="00F80D34">
      <w:pPr>
        <w:spacing w:line="360" w:lineRule="auto"/>
        <w:ind w:firstLine="720"/>
        <w:jc w:val="both"/>
        <w:rPr>
          <w:rFonts w:cs="Times New Roman"/>
          <w:szCs w:val="24"/>
        </w:rPr>
      </w:pPr>
      <w:r>
        <w:rPr>
          <w:rFonts w:cs="Times New Roman"/>
          <w:szCs w:val="24"/>
        </w:rPr>
        <w:t xml:space="preserve">In the early 2000s both </w:t>
      </w:r>
      <w:r>
        <w:rPr>
          <w:rFonts w:cs="Times New Roman"/>
          <w:i/>
          <w:szCs w:val="24"/>
        </w:rPr>
        <w:t xml:space="preserve">Myths of Power </w:t>
      </w:r>
      <w:r>
        <w:rPr>
          <w:rFonts w:cs="Times New Roman"/>
          <w:szCs w:val="24"/>
        </w:rPr>
        <w:t xml:space="preserve">and </w:t>
      </w:r>
      <w:r>
        <w:rPr>
          <w:rFonts w:cs="Times New Roman"/>
          <w:i/>
          <w:szCs w:val="24"/>
        </w:rPr>
        <w:t xml:space="preserve">The Madwoman in the Attic </w:t>
      </w:r>
      <w:r>
        <w:rPr>
          <w:rFonts w:cs="Times New Roman"/>
          <w:szCs w:val="24"/>
        </w:rPr>
        <w:t xml:space="preserve">were reissued as new editions with new introductions for a new generation of scholars. There was inevitably an element of nostalgia in the republication of </w:t>
      </w:r>
      <w:r w:rsidR="0003639B">
        <w:rPr>
          <w:rFonts w:cs="Times New Roman"/>
          <w:szCs w:val="24"/>
        </w:rPr>
        <w:t xml:space="preserve">texts which had stimulated so many </w:t>
      </w:r>
      <w:r>
        <w:rPr>
          <w:rFonts w:cs="Times New Roman"/>
          <w:szCs w:val="24"/>
        </w:rPr>
        <w:t>debate</w:t>
      </w:r>
      <w:r w:rsidR="0003639B">
        <w:rPr>
          <w:rFonts w:cs="Times New Roman"/>
          <w:szCs w:val="24"/>
        </w:rPr>
        <w:t>s</w:t>
      </w:r>
      <w:r>
        <w:rPr>
          <w:rFonts w:cs="Times New Roman"/>
          <w:szCs w:val="24"/>
        </w:rPr>
        <w:t xml:space="preserve">, yet were now being </w:t>
      </w:r>
      <w:r w:rsidR="004859BC">
        <w:rPr>
          <w:rFonts w:cs="Times New Roman"/>
          <w:szCs w:val="24"/>
        </w:rPr>
        <w:t>supplemented and challenged</w:t>
      </w:r>
      <w:r>
        <w:rPr>
          <w:rFonts w:cs="Times New Roman"/>
          <w:szCs w:val="24"/>
        </w:rPr>
        <w:t xml:space="preserve"> by </w:t>
      </w:r>
      <w:r w:rsidR="004859BC">
        <w:rPr>
          <w:rFonts w:cs="Times New Roman"/>
          <w:szCs w:val="24"/>
        </w:rPr>
        <w:t>other</w:t>
      </w:r>
      <w:r>
        <w:rPr>
          <w:rFonts w:cs="Times New Roman"/>
          <w:szCs w:val="24"/>
        </w:rPr>
        <w:t xml:space="preserve"> approaches. </w:t>
      </w:r>
      <w:r w:rsidR="0003639B">
        <w:rPr>
          <w:rFonts w:cs="Times New Roman"/>
          <w:szCs w:val="24"/>
        </w:rPr>
        <w:t>Undoubtedly</w:t>
      </w:r>
      <w:r>
        <w:rPr>
          <w:rFonts w:cs="Times New Roman"/>
          <w:szCs w:val="24"/>
        </w:rPr>
        <w:t>, Gilbert and Gubar, Spivak, and Eagleton ha</w:t>
      </w:r>
      <w:r w:rsidR="00810039">
        <w:rPr>
          <w:rFonts w:cs="Times New Roman"/>
          <w:szCs w:val="24"/>
        </w:rPr>
        <w:t>ve</w:t>
      </w:r>
      <w:r>
        <w:rPr>
          <w:rFonts w:cs="Times New Roman"/>
          <w:szCs w:val="24"/>
        </w:rPr>
        <w:t xml:space="preserve"> each left an important legacy </w:t>
      </w:r>
      <w:r w:rsidR="0003639B">
        <w:rPr>
          <w:rFonts w:cs="Times New Roman"/>
          <w:szCs w:val="24"/>
        </w:rPr>
        <w:t xml:space="preserve">for subsequent scholars </w:t>
      </w:r>
      <w:r w:rsidR="004859BC">
        <w:rPr>
          <w:rFonts w:cs="Times New Roman"/>
          <w:szCs w:val="24"/>
        </w:rPr>
        <w:t>in their</w:t>
      </w:r>
      <w:r>
        <w:rPr>
          <w:rFonts w:cs="Times New Roman"/>
          <w:szCs w:val="24"/>
        </w:rPr>
        <w:t xml:space="preserve"> </w:t>
      </w:r>
      <w:r w:rsidR="00DF71DD">
        <w:rPr>
          <w:rFonts w:cs="Times New Roman"/>
          <w:szCs w:val="24"/>
        </w:rPr>
        <w:t>application of theory</w:t>
      </w:r>
      <w:r w:rsidR="00C36DFC">
        <w:rPr>
          <w:rFonts w:cs="Times New Roman"/>
          <w:szCs w:val="24"/>
        </w:rPr>
        <w:t xml:space="preserve"> </w:t>
      </w:r>
      <w:r w:rsidR="0065218A">
        <w:rPr>
          <w:rFonts w:cs="Times New Roman"/>
          <w:szCs w:val="24"/>
        </w:rPr>
        <w:t>to Charlotte Brontë’s work.</w:t>
      </w:r>
      <w:r>
        <w:rPr>
          <w:rFonts w:cs="Times New Roman"/>
          <w:szCs w:val="24"/>
        </w:rPr>
        <w:t xml:space="preserve"> </w:t>
      </w:r>
      <w:r w:rsidR="004859BC">
        <w:rPr>
          <w:rFonts w:cs="Times New Roman"/>
          <w:szCs w:val="24"/>
        </w:rPr>
        <w:t>They decisively</w:t>
      </w:r>
      <w:r w:rsidR="0065218A">
        <w:rPr>
          <w:rFonts w:cs="Times New Roman"/>
          <w:szCs w:val="24"/>
        </w:rPr>
        <w:t xml:space="preserve"> pushed scholarship</w:t>
      </w:r>
      <w:r>
        <w:rPr>
          <w:rFonts w:cs="Times New Roman"/>
          <w:szCs w:val="24"/>
        </w:rPr>
        <w:t xml:space="preserve"> beyond </w:t>
      </w:r>
      <w:r w:rsidR="004859BC">
        <w:rPr>
          <w:rFonts w:cs="Times New Roman"/>
          <w:szCs w:val="24"/>
        </w:rPr>
        <w:t>th</w:t>
      </w:r>
      <w:r w:rsidR="00434FB9">
        <w:rPr>
          <w:rFonts w:cs="Times New Roman"/>
          <w:szCs w:val="24"/>
        </w:rPr>
        <w:t>e</w:t>
      </w:r>
      <w:r w:rsidR="0003639B">
        <w:rPr>
          <w:rFonts w:cs="Times New Roman"/>
          <w:szCs w:val="24"/>
        </w:rPr>
        <w:t xml:space="preserve"> </w:t>
      </w:r>
      <w:r>
        <w:rPr>
          <w:rFonts w:cs="Times New Roman"/>
          <w:szCs w:val="24"/>
        </w:rPr>
        <w:t xml:space="preserve">Victorian-inspired </w:t>
      </w:r>
      <w:r w:rsidR="004859BC">
        <w:rPr>
          <w:rFonts w:cs="Times New Roman"/>
          <w:szCs w:val="24"/>
        </w:rPr>
        <w:t xml:space="preserve">tendency to analyse </w:t>
      </w:r>
      <w:r>
        <w:rPr>
          <w:rFonts w:cs="Times New Roman"/>
          <w:szCs w:val="24"/>
        </w:rPr>
        <w:t>the author as naively writing autobiography thinly disguised as fiction</w:t>
      </w:r>
      <w:r w:rsidR="0065218A">
        <w:rPr>
          <w:rFonts w:cs="Times New Roman"/>
          <w:szCs w:val="24"/>
        </w:rPr>
        <w:t>.</w:t>
      </w:r>
      <w:r>
        <w:rPr>
          <w:rFonts w:cs="Times New Roman"/>
          <w:szCs w:val="24"/>
        </w:rPr>
        <w:t xml:space="preserve"> </w:t>
      </w:r>
      <w:r w:rsidR="004859BC">
        <w:rPr>
          <w:rFonts w:cs="Times New Roman"/>
          <w:szCs w:val="24"/>
        </w:rPr>
        <w:t>Indeed, their</w:t>
      </w:r>
      <w:r w:rsidR="0065218A">
        <w:rPr>
          <w:rFonts w:cs="Times New Roman"/>
          <w:szCs w:val="24"/>
        </w:rPr>
        <w:t xml:space="preserve"> most important legacy </w:t>
      </w:r>
      <w:r w:rsidR="004859BC">
        <w:rPr>
          <w:rFonts w:cs="Times New Roman"/>
          <w:szCs w:val="24"/>
        </w:rPr>
        <w:t xml:space="preserve">was the </w:t>
      </w:r>
      <w:r w:rsidR="0065218A">
        <w:rPr>
          <w:rFonts w:cs="Times New Roman"/>
          <w:szCs w:val="24"/>
        </w:rPr>
        <w:t>revelation of</w:t>
      </w:r>
      <w:r>
        <w:rPr>
          <w:rFonts w:cs="Times New Roman"/>
          <w:szCs w:val="24"/>
        </w:rPr>
        <w:t xml:space="preserve"> Charlotte Brontë as a political writer. All of the w</w:t>
      </w:r>
      <w:r w:rsidR="0065218A">
        <w:rPr>
          <w:rFonts w:cs="Times New Roman"/>
          <w:szCs w:val="24"/>
        </w:rPr>
        <w:t>o</w:t>
      </w:r>
      <w:r>
        <w:rPr>
          <w:rFonts w:cs="Times New Roman"/>
          <w:szCs w:val="24"/>
        </w:rPr>
        <w:t>r</w:t>
      </w:r>
      <w:r w:rsidR="0065218A">
        <w:rPr>
          <w:rFonts w:cs="Times New Roman"/>
          <w:szCs w:val="24"/>
        </w:rPr>
        <w:t>k</w:t>
      </w:r>
      <w:r>
        <w:rPr>
          <w:rFonts w:cs="Times New Roman"/>
          <w:szCs w:val="24"/>
        </w:rPr>
        <w:t xml:space="preserve">s I discuss in this </w:t>
      </w:r>
      <w:r w:rsidR="0003639B">
        <w:rPr>
          <w:rFonts w:cs="Times New Roman"/>
          <w:szCs w:val="24"/>
        </w:rPr>
        <w:t xml:space="preserve">survey engage in some way with </w:t>
      </w:r>
      <w:r w:rsidR="00810039">
        <w:rPr>
          <w:rFonts w:cs="Times New Roman"/>
          <w:szCs w:val="24"/>
        </w:rPr>
        <w:t xml:space="preserve">this </w:t>
      </w:r>
      <w:r w:rsidR="00810039">
        <w:rPr>
          <w:rFonts w:cs="Times New Roman"/>
          <w:szCs w:val="24"/>
        </w:rPr>
        <w:lastRenderedPageBreak/>
        <w:t xml:space="preserve">legacy, </w:t>
      </w:r>
      <w:r w:rsidR="0003639B">
        <w:rPr>
          <w:rFonts w:cs="Times New Roman"/>
          <w:szCs w:val="24"/>
        </w:rPr>
        <w:t xml:space="preserve">and </w:t>
      </w:r>
      <w:r w:rsidR="00810039">
        <w:rPr>
          <w:rFonts w:cs="Times New Roman"/>
          <w:szCs w:val="24"/>
        </w:rPr>
        <w:t xml:space="preserve">while </w:t>
      </w:r>
      <w:r w:rsidR="00434FB9">
        <w:rPr>
          <w:rFonts w:cs="Times New Roman"/>
          <w:szCs w:val="24"/>
        </w:rPr>
        <w:t xml:space="preserve">most </w:t>
      </w:r>
      <w:r w:rsidR="00810039">
        <w:rPr>
          <w:rFonts w:cs="Times New Roman"/>
          <w:szCs w:val="24"/>
        </w:rPr>
        <w:t xml:space="preserve">critics </w:t>
      </w:r>
      <w:r>
        <w:rPr>
          <w:rFonts w:cs="Times New Roman"/>
          <w:szCs w:val="24"/>
        </w:rPr>
        <w:t xml:space="preserve">have benefited from their insights, </w:t>
      </w:r>
      <w:r w:rsidR="00434FB9">
        <w:rPr>
          <w:rFonts w:cs="Times New Roman"/>
          <w:szCs w:val="24"/>
        </w:rPr>
        <w:t xml:space="preserve">many </w:t>
      </w:r>
      <w:r w:rsidR="00BA6045">
        <w:rPr>
          <w:rFonts w:cs="Times New Roman"/>
          <w:szCs w:val="24"/>
        </w:rPr>
        <w:t xml:space="preserve">have </w:t>
      </w:r>
      <w:r w:rsidR="00434FB9">
        <w:rPr>
          <w:rFonts w:cs="Times New Roman"/>
          <w:szCs w:val="24"/>
        </w:rPr>
        <w:t>also</w:t>
      </w:r>
      <w:r w:rsidR="00BA6045">
        <w:rPr>
          <w:rFonts w:cs="Times New Roman"/>
          <w:szCs w:val="24"/>
        </w:rPr>
        <w:t xml:space="preserve"> </w:t>
      </w:r>
      <w:r>
        <w:rPr>
          <w:rFonts w:cs="Times New Roman"/>
          <w:szCs w:val="24"/>
        </w:rPr>
        <w:t>expose</w:t>
      </w:r>
      <w:r w:rsidR="00BA6045">
        <w:rPr>
          <w:rFonts w:cs="Times New Roman"/>
          <w:szCs w:val="24"/>
        </w:rPr>
        <w:t>d</w:t>
      </w:r>
      <w:r>
        <w:rPr>
          <w:rFonts w:cs="Times New Roman"/>
          <w:szCs w:val="24"/>
        </w:rPr>
        <w:t xml:space="preserve"> their limitations.</w:t>
      </w:r>
      <w:r w:rsidR="0065218A">
        <w:rPr>
          <w:rFonts w:cs="Times New Roman"/>
          <w:szCs w:val="24"/>
        </w:rPr>
        <w:t xml:space="preserve"> </w:t>
      </w:r>
    </w:p>
    <w:p w:rsidR="007E4E08" w:rsidRDefault="000D5252" w:rsidP="00976F6B">
      <w:pPr>
        <w:spacing w:line="360" w:lineRule="auto"/>
        <w:ind w:firstLine="720"/>
        <w:jc w:val="both"/>
        <w:rPr>
          <w:rFonts w:cs="Times New Roman"/>
          <w:szCs w:val="24"/>
        </w:rPr>
      </w:pPr>
      <w:r>
        <w:rPr>
          <w:rFonts w:cs="Times New Roman"/>
          <w:szCs w:val="24"/>
        </w:rPr>
        <w:t>F</w:t>
      </w:r>
      <w:r w:rsidR="00CD64BD">
        <w:rPr>
          <w:rFonts w:cs="Times New Roman"/>
          <w:szCs w:val="24"/>
        </w:rPr>
        <w:t xml:space="preserve">ar from being ‘exhausted’, </w:t>
      </w:r>
      <w:r w:rsidR="0003639B">
        <w:rPr>
          <w:rFonts w:cs="Times New Roman"/>
          <w:szCs w:val="24"/>
        </w:rPr>
        <w:t xml:space="preserve">then, </w:t>
      </w:r>
      <w:r w:rsidR="00281899">
        <w:rPr>
          <w:rFonts w:cs="Times New Roman"/>
          <w:szCs w:val="24"/>
        </w:rPr>
        <w:t xml:space="preserve">as Ratchford suspected, approaches to </w:t>
      </w:r>
      <w:r w:rsidR="00CD64BD">
        <w:rPr>
          <w:rFonts w:cs="Times New Roman"/>
          <w:szCs w:val="24"/>
        </w:rPr>
        <w:t xml:space="preserve">Charlotte Brontë </w:t>
      </w:r>
      <w:r>
        <w:rPr>
          <w:rFonts w:cs="Times New Roman"/>
          <w:szCs w:val="24"/>
        </w:rPr>
        <w:t>(</w:t>
      </w:r>
      <w:r w:rsidR="00281899">
        <w:rPr>
          <w:rFonts w:cs="Times New Roman"/>
          <w:szCs w:val="24"/>
        </w:rPr>
        <w:t xml:space="preserve">along </w:t>
      </w:r>
      <w:r>
        <w:rPr>
          <w:rFonts w:cs="Times New Roman"/>
          <w:szCs w:val="24"/>
        </w:rPr>
        <w:t xml:space="preserve">with the </w:t>
      </w:r>
      <w:r w:rsidR="00281899">
        <w:rPr>
          <w:rFonts w:cs="Times New Roman"/>
          <w:szCs w:val="24"/>
        </w:rPr>
        <w:t>rest of her f</w:t>
      </w:r>
      <w:r>
        <w:rPr>
          <w:rFonts w:cs="Times New Roman"/>
          <w:szCs w:val="24"/>
        </w:rPr>
        <w:t xml:space="preserve">amily) </w:t>
      </w:r>
      <w:r w:rsidR="00E97347">
        <w:rPr>
          <w:rFonts w:cs="Times New Roman"/>
          <w:szCs w:val="24"/>
        </w:rPr>
        <w:t xml:space="preserve">have </w:t>
      </w:r>
      <w:r w:rsidR="00281899">
        <w:rPr>
          <w:rFonts w:cs="Times New Roman"/>
          <w:szCs w:val="24"/>
        </w:rPr>
        <w:t>continue</w:t>
      </w:r>
      <w:r w:rsidR="00E97347">
        <w:rPr>
          <w:rFonts w:cs="Times New Roman"/>
          <w:szCs w:val="24"/>
        </w:rPr>
        <w:t>d</w:t>
      </w:r>
      <w:r w:rsidR="00281899">
        <w:rPr>
          <w:rFonts w:cs="Times New Roman"/>
          <w:szCs w:val="24"/>
        </w:rPr>
        <w:t xml:space="preserve"> to</w:t>
      </w:r>
      <w:r w:rsidR="00CD64BD">
        <w:rPr>
          <w:rFonts w:cs="Times New Roman"/>
          <w:szCs w:val="24"/>
        </w:rPr>
        <w:t xml:space="preserve"> e</w:t>
      </w:r>
      <w:r w:rsidR="00281899">
        <w:rPr>
          <w:rFonts w:cs="Times New Roman"/>
          <w:szCs w:val="24"/>
        </w:rPr>
        <w:t>volve</w:t>
      </w:r>
      <w:r w:rsidR="00434FB9">
        <w:rPr>
          <w:rFonts w:cs="Times New Roman"/>
          <w:szCs w:val="24"/>
        </w:rPr>
        <w:t xml:space="preserve"> in new directions</w:t>
      </w:r>
      <w:r w:rsidR="00281899">
        <w:rPr>
          <w:rFonts w:cs="Times New Roman"/>
          <w:szCs w:val="24"/>
        </w:rPr>
        <w:t>.</w:t>
      </w:r>
      <w:r w:rsidR="00EF7C1B">
        <w:rPr>
          <w:rFonts w:cs="Times New Roman"/>
          <w:szCs w:val="24"/>
        </w:rPr>
        <w:t xml:space="preserve"> </w:t>
      </w:r>
      <w:r w:rsidR="00E97347">
        <w:rPr>
          <w:rFonts w:cs="Times New Roman"/>
          <w:szCs w:val="24"/>
        </w:rPr>
        <w:t>Her</w:t>
      </w:r>
      <w:r w:rsidR="00926868">
        <w:rPr>
          <w:rFonts w:cs="Times New Roman"/>
          <w:szCs w:val="24"/>
        </w:rPr>
        <w:t xml:space="preserve"> novels are </w:t>
      </w:r>
      <w:r w:rsidR="00281899">
        <w:rPr>
          <w:rFonts w:cs="Times New Roman"/>
          <w:szCs w:val="24"/>
        </w:rPr>
        <w:t xml:space="preserve">today being </w:t>
      </w:r>
      <w:r w:rsidR="00E97347">
        <w:rPr>
          <w:rFonts w:cs="Times New Roman"/>
          <w:szCs w:val="24"/>
        </w:rPr>
        <w:t>studied</w:t>
      </w:r>
      <w:r w:rsidR="00926868">
        <w:rPr>
          <w:rFonts w:cs="Times New Roman"/>
          <w:szCs w:val="24"/>
        </w:rPr>
        <w:t xml:space="preserve"> </w:t>
      </w:r>
      <w:r w:rsidR="00281899">
        <w:rPr>
          <w:rFonts w:cs="Times New Roman"/>
          <w:szCs w:val="24"/>
        </w:rPr>
        <w:t>for their engagement</w:t>
      </w:r>
      <w:r w:rsidR="00926868">
        <w:rPr>
          <w:rFonts w:cs="Times New Roman"/>
          <w:szCs w:val="24"/>
        </w:rPr>
        <w:t xml:space="preserve"> with</w:t>
      </w:r>
      <w:r w:rsidR="00A03B2C">
        <w:rPr>
          <w:rFonts w:cs="Times New Roman"/>
          <w:szCs w:val="24"/>
        </w:rPr>
        <w:t xml:space="preserve"> topics such as sexuality, slavery, the family, religion, imperialism, material culture, childhood, disability, the body, illness, psychology (</w:t>
      </w:r>
      <w:r w:rsidR="00926868">
        <w:rPr>
          <w:rFonts w:cs="Times New Roman"/>
          <w:szCs w:val="24"/>
        </w:rPr>
        <w:t xml:space="preserve">rather </w:t>
      </w:r>
      <w:r w:rsidR="00A03B2C">
        <w:rPr>
          <w:rFonts w:cs="Times New Roman"/>
          <w:szCs w:val="24"/>
        </w:rPr>
        <w:t xml:space="preserve">more complex than the </w:t>
      </w:r>
      <w:r w:rsidR="00926868">
        <w:rPr>
          <w:rFonts w:cs="Times New Roman"/>
          <w:szCs w:val="24"/>
        </w:rPr>
        <w:t>‘</w:t>
      </w:r>
      <w:r w:rsidR="00A03B2C">
        <w:rPr>
          <w:rFonts w:cs="Times New Roman"/>
          <w:szCs w:val="24"/>
        </w:rPr>
        <w:t>orgy</w:t>
      </w:r>
      <w:r w:rsidR="00926868">
        <w:rPr>
          <w:rFonts w:cs="Times New Roman"/>
          <w:szCs w:val="24"/>
        </w:rPr>
        <w:t>’</w:t>
      </w:r>
      <w:r w:rsidR="00A03B2C">
        <w:rPr>
          <w:rFonts w:cs="Times New Roman"/>
          <w:szCs w:val="24"/>
        </w:rPr>
        <w:t xml:space="preserve"> of Freudian readings Ratchford </w:t>
      </w:r>
      <w:r>
        <w:rPr>
          <w:rFonts w:cs="Times New Roman"/>
          <w:szCs w:val="24"/>
        </w:rPr>
        <w:t>singled out for complain</w:t>
      </w:r>
      <w:r w:rsidR="00A03B2C">
        <w:rPr>
          <w:rFonts w:cs="Times New Roman"/>
          <w:szCs w:val="24"/>
        </w:rPr>
        <w:t xml:space="preserve">t), the gothic, regional identity, education, trading networks, the periodical press, and the law. </w:t>
      </w:r>
      <w:r w:rsidR="00EF7C1B">
        <w:rPr>
          <w:rFonts w:cs="Times New Roman"/>
          <w:szCs w:val="24"/>
        </w:rPr>
        <w:t>T</w:t>
      </w:r>
      <w:r>
        <w:rPr>
          <w:rFonts w:cs="Times New Roman"/>
          <w:szCs w:val="24"/>
        </w:rPr>
        <w:t>he</w:t>
      </w:r>
      <w:r w:rsidR="00CD64BD">
        <w:rPr>
          <w:rFonts w:cs="Times New Roman"/>
          <w:szCs w:val="24"/>
        </w:rPr>
        <w:t xml:space="preserve"> </w:t>
      </w:r>
      <w:r>
        <w:rPr>
          <w:rFonts w:cs="Times New Roman"/>
          <w:szCs w:val="24"/>
        </w:rPr>
        <w:t xml:space="preserve">abundance and </w:t>
      </w:r>
      <w:r w:rsidR="00CD64BD">
        <w:rPr>
          <w:rFonts w:cs="Times New Roman"/>
          <w:szCs w:val="24"/>
        </w:rPr>
        <w:t xml:space="preserve">richness </w:t>
      </w:r>
      <w:r>
        <w:rPr>
          <w:rFonts w:cs="Times New Roman"/>
          <w:szCs w:val="24"/>
        </w:rPr>
        <w:t xml:space="preserve">of </w:t>
      </w:r>
      <w:r w:rsidR="00926868">
        <w:rPr>
          <w:rFonts w:cs="Times New Roman"/>
          <w:szCs w:val="24"/>
        </w:rPr>
        <w:t xml:space="preserve">this </w:t>
      </w:r>
      <w:r>
        <w:rPr>
          <w:rFonts w:cs="Times New Roman"/>
          <w:szCs w:val="24"/>
        </w:rPr>
        <w:t xml:space="preserve">new criticism </w:t>
      </w:r>
      <w:r w:rsidR="00E97347">
        <w:rPr>
          <w:rFonts w:cs="Times New Roman"/>
          <w:szCs w:val="24"/>
        </w:rPr>
        <w:t xml:space="preserve">undoubtedly </w:t>
      </w:r>
      <w:r w:rsidR="00DD5237">
        <w:rPr>
          <w:rFonts w:cs="Times New Roman"/>
          <w:szCs w:val="24"/>
        </w:rPr>
        <w:t>contributes</w:t>
      </w:r>
      <w:r w:rsidR="00EF7C1B">
        <w:rPr>
          <w:rFonts w:cs="Times New Roman"/>
          <w:szCs w:val="24"/>
        </w:rPr>
        <w:t xml:space="preserve"> to </w:t>
      </w:r>
      <w:r w:rsidR="00DF71DD">
        <w:rPr>
          <w:rFonts w:cs="Times New Roman"/>
          <w:szCs w:val="24"/>
        </w:rPr>
        <w:t>gre</w:t>
      </w:r>
      <w:r w:rsidR="00DD5237">
        <w:rPr>
          <w:rFonts w:cs="Times New Roman"/>
          <w:szCs w:val="24"/>
        </w:rPr>
        <w:t>a</w:t>
      </w:r>
      <w:r w:rsidR="00DF71DD">
        <w:rPr>
          <w:rFonts w:cs="Times New Roman"/>
          <w:szCs w:val="24"/>
        </w:rPr>
        <w:t>ter</w:t>
      </w:r>
      <w:r w:rsidR="00DD5237">
        <w:rPr>
          <w:rFonts w:cs="Times New Roman"/>
          <w:szCs w:val="24"/>
        </w:rPr>
        <w:t xml:space="preserve"> </w:t>
      </w:r>
      <w:r w:rsidR="00DF71DD">
        <w:rPr>
          <w:rFonts w:cs="Times New Roman"/>
          <w:szCs w:val="24"/>
        </w:rPr>
        <w:t>insights into</w:t>
      </w:r>
      <w:r w:rsidR="00A03B2C">
        <w:rPr>
          <w:rFonts w:cs="Times New Roman"/>
          <w:szCs w:val="24"/>
        </w:rPr>
        <w:t xml:space="preserve"> Charlotte Brontë’s</w:t>
      </w:r>
      <w:r w:rsidR="00EF7C1B">
        <w:rPr>
          <w:rFonts w:cs="Times New Roman"/>
          <w:szCs w:val="24"/>
        </w:rPr>
        <w:t xml:space="preserve"> </w:t>
      </w:r>
      <w:r w:rsidR="0003639B">
        <w:rPr>
          <w:rFonts w:cs="Times New Roman"/>
          <w:szCs w:val="24"/>
        </w:rPr>
        <w:t xml:space="preserve">work and </w:t>
      </w:r>
      <w:r w:rsidR="00EF7C1B">
        <w:rPr>
          <w:rFonts w:cs="Times New Roman"/>
          <w:szCs w:val="24"/>
        </w:rPr>
        <w:t xml:space="preserve">legacy. </w:t>
      </w:r>
      <w:r>
        <w:rPr>
          <w:rFonts w:cs="Times New Roman"/>
          <w:szCs w:val="24"/>
        </w:rPr>
        <w:t>T</w:t>
      </w:r>
      <w:r w:rsidR="00A03B2C">
        <w:rPr>
          <w:rFonts w:cs="Times New Roman"/>
          <w:szCs w:val="24"/>
        </w:rPr>
        <w:t xml:space="preserve">he following </w:t>
      </w:r>
      <w:r w:rsidR="0003639B">
        <w:rPr>
          <w:rFonts w:cs="Times New Roman"/>
          <w:szCs w:val="24"/>
        </w:rPr>
        <w:t>brief,</w:t>
      </w:r>
      <w:r w:rsidR="002B032E">
        <w:rPr>
          <w:rFonts w:cs="Times New Roman"/>
          <w:szCs w:val="24"/>
        </w:rPr>
        <w:t xml:space="preserve"> </w:t>
      </w:r>
      <w:r w:rsidR="00F80D34">
        <w:rPr>
          <w:rFonts w:cs="Times New Roman"/>
          <w:szCs w:val="24"/>
        </w:rPr>
        <w:t xml:space="preserve">necessarily </w:t>
      </w:r>
      <w:r w:rsidR="002B032E">
        <w:rPr>
          <w:rFonts w:cs="Times New Roman"/>
          <w:szCs w:val="24"/>
        </w:rPr>
        <w:t>selective</w:t>
      </w:r>
      <w:r w:rsidR="00303CC4">
        <w:rPr>
          <w:rFonts w:cs="Times New Roman"/>
          <w:szCs w:val="24"/>
        </w:rPr>
        <w:t>,</w:t>
      </w:r>
      <w:r w:rsidR="002B032E">
        <w:rPr>
          <w:rFonts w:cs="Times New Roman"/>
          <w:szCs w:val="24"/>
        </w:rPr>
        <w:t xml:space="preserve"> </w:t>
      </w:r>
      <w:r w:rsidR="0003639B">
        <w:rPr>
          <w:rFonts w:cs="Times New Roman"/>
          <w:szCs w:val="24"/>
        </w:rPr>
        <w:t>overview</w:t>
      </w:r>
      <w:r w:rsidR="00EF7C1B">
        <w:rPr>
          <w:rFonts w:cs="Times New Roman"/>
          <w:szCs w:val="24"/>
        </w:rPr>
        <w:t xml:space="preserve"> of Charlotte Brontë studies </w:t>
      </w:r>
      <w:r w:rsidR="00E97347">
        <w:rPr>
          <w:rFonts w:cs="Times New Roman"/>
          <w:szCs w:val="24"/>
        </w:rPr>
        <w:t>focuses on</w:t>
      </w:r>
      <w:r w:rsidR="002E7BCD">
        <w:rPr>
          <w:rFonts w:cs="Times New Roman"/>
          <w:szCs w:val="24"/>
        </w:rPr>
        <w:t xml:space="preserve"> criticism published</w:t>
      </w:r>
      <w:r>
        <w:rPr>
          <w:rFonts w:cs="Times New Roman"/>
          <w:szCs w:val="24"/>
        </w:rPr>
        <w:t xml:space="preserve"> </w:t>
      </w:r>
      <w:r w:rsidR="002B032E">
        <w:rPr>
          <w:rFonts w:cs="Times New Roman"/>
          <w:szCs w:val="24"/>
        </w:rPr>
        <w:t>in the last decade</w:t>
      </w:r>
      <w:r w:rsidR="0003639B">
        <w:rPr>
          <w:rFonts w:cs="Times New Roman"/>
          <w:szCs w:val="24"/>
        </w:rPr>
        <w:t xml:space="preserve">, most of which </w:t>
      </w:r>
      <w:r w:rsidR="00F80D34">
        <w:rPr>
          <w:rFonts w:cs="Times New Roman"/>
          <w:szCs w:val="24"/>
        </w:rPr>
        <w:t xml:space="preserve">is based on or </w:t>
      </w:r>
      <w:r w:rsidR="00976F6B">
        <w:rPr>
          <w:rFonts w:cs="Times New Roman"/>
          <w:szCs w:val="24"/>
        </w:rPr>
        <w:t xml:space="preserve">informed by historical research. </w:t>
      </w:r>
      <w:r w:rsidR="00DF71DD">
        <w:rPr>
          <w:rFonts w:cs="Times New Roman"/>
          <w:szCs w:val="24"/>
        </w:rPr>
        <w:t>This work is indebted to earlier h</w:t>
      </w:r>
      <w:r w:rsidR="00F80D34">
        <w:rPr>
          <w:rFonts w:cs="Times New Roman"/>
          <w:szCs w:val="24"/>
        </w:rPr>
        <w:t xml:space="preserve">istoricist readings </w:t>
      </w:r>
      <w:r w:rsidR="00434FB9">
        <w:rPr>
          <w:rFonts w:cs="Times New Roman"/>
          <w:szCs w:val="24"/>
        </w:rPr>
        <w:t xml:space="preserve">by Sally </w:t>
      </w:r>
      <w:r w:rsidR="00D8696A">
        <w:rPr>
          <w:rFonts w:cs="Times New Roman"/>
          <w:szCs w:val="24"/>
        </w:rPr>
        <w:t xml:space="preserve">Shuttleworth </w:t>
      </w:r>
      <w:r w:rsidR="00DF71DD">
        <w:rPr>
          <w:rFonts w:cs="Times New Roman"/>
          <w:szCs w:val="24"/>
        </w:rPr>
        <w:t xml:space="preserve">on Victorian psychology </w:t>
      </w:r>
      <w:r w:rsidR="00D8696A">
        <w:rPr>
          <w:rFonts w:cs="Times New Roman"/>
          <w:szCs w:val="24"/>
        </w:rPr>
        <w:t>(1996</w:t>
      </w:r>
      <w:r w:rsidR="00DF71DD">
        <w:rPr>
          <w:rFonts w:cs="Times New Roman"/>
          <w:szCs w:val="24"/>
        </w:rPr>
        <w:t>);</w:t>
      </w:r>
      <w:r w:rsidR="00434FB9">
        <w:rPr>
          <w:rFonts w:cs="Times New Roman"/>
          <w:szCs w:val="24"/>
        </w:rPr>
        <w:t xml:space="preserve"> Heather </w:t>
      </w:r>
      <w:r w:rsidR="00C8782E">
        <w:rPr>
          <w:rFonts w:cs="Times New Roman"/>
          <w:szCs w:val="24"/>
        </w:rPr>
        <w:t xml:space="preserve">Glen </w:t>
      </w:r>
      <w:r w:rsidR="00DF71DD">
        <w:rPr>
          <w:rFonts w:cs="Times New Roman"/>
          <w:szCs w:val="24"/>
        </w:rPr>
        <w:t xml:space="preserve">on historical engagement </w:t>
      </w:r>
      <w:r w:rsidR="00C8782E">
        <w:rPr>
          <w:rFonts w:cs="Times New Roman"/>
          <w:szCs w:val="24"/>
        </w:rPr>
        <w:t>(2002</w:t>
      </w:r>
      <w:r w:rsidR="006B0276">
        <w:rPr>
          <w:rFonts w:cs="Times New Roman"/>
          <w:szCs w:val="24"/>
        </w:rPr>
        <w:t>)</w:t>
      </w:r>
      <w:r w:rsidR="00DF71DD">
        <w:rPr>
          <w:rFonts w:cs="Times New Roman"/>
          <w:szCs w:val="24"/>
        </w:rPr>
        <w:t>;</w:t>
      </w:r>
      <w:r w:rsidR="006B0276">
        <w:rPr>
          <w:rFonts w:cs="Times New Roman"/>
          <w:szCs w:val="24"/>
        </w:rPr>
        <w:t xml:space="preserve"> </w:t>
      </w:r>
      <w:r w:rsidR="00DF71DD">
        <w:rPr>
          <w:rFonts w:cs="Times New Roman"/>
          <w:szCs w:val="24"/>
        </w:rPr>
        <w:t>and</w:t>
      </w:r>
      <w:r w:rsidR="006B0276">
        <w:rPr>
          <w:rFonts w:cs="Times New Roman"/>
          <w:szCs w:val="24"/>
        </w:rPr>
        <w:t xml:space="preserve"> Christine</w:t>
      </w:r>
      <w:r w:rsidR="00DF71DD">
        <w:rPr>
          <w:rFonts w:cs="Times New Roman"/>
          <w:szCs w:val="24"/>
        </w:rPr>
        <w:t xml:space="preserve"> Alexander</w:t>
      </w:r>
      <w:r w:rsidR="00434FB9">
        <w:rPr>
          <w:rFonts w:cs="Times New Roman"/>
          <w:szCs w:val="24"/>
        </w:rPr>
        <w:t xml:space="preserve"> on the juvenilia (19</w:t>
      </w:r>
      <w:r w:rsidR="006B0276">
        <w:rPr>
          <w:rFonts w:cs="Times New Roman"/>
          <w:szCs w:val="24"/>
        </w:rPr>
        <w:t>83 and 1987-1991</w:t>
      </w:r>
      <w:r w:rsidR="00DF71DD">
        <w:rPr>
          <w:rFonts w:cs="Times New Roman"/>
          <w:szCs w:val="24"/>
        </w:rPr>
        <w:t>);</w:t>
      </w:r>
      <w:r w:rsidR="00434FB9">
        <w:rPr>
          <w:rFonts w:cs="Times New Roman"/>
          <w:szCs w:val="24"/>
        </w:rPr>
        <w:t xml:space="preserve"> each </w:t>
      </w:r>
      <w:r w:rsidR="00DF71DD">
        <w:rPr>
          <w:rFonts w:cs="Times New Roman"/>
          <w:szCs w:val="24"/>
        </w:rPr>
        <w:t xml:space="preserve">has </w:t>
      </w:r>
      <w:r w:rsidR="00434FB9">
        <w:rPr>
          <w:rFonts w:cs="Times New Roman"/>
          <w:szCs w:val="24"/>
        </w:rPr>
        <w:t>demonstrated</w:t>
      </w:r>
      <w:r w:rsidR="001A08E1">
        <w:rPr>
          <w:rFonts w:cs="Times New Roman"/>
          <w:szCs w:val="24"/>
        </w:rPr>
        <w:t xml:space="preserve"> Brontë</w:t>
      </w:r>
      <w:r w:rsidR="00434FB9">
        <w:rPr>
          <w:rFonts w:cs="Times New Roman"/>
          <w:szCs w:val="24"/>
        </w:rPr>
        <w:t>’s</w:t>
      </w:r>
      <w:r w:rsidR="002336A3">
        <w:rPr>
          <w:rFonts w:cs="Times New Roman"/>
          <w:szCs w:val="24"/>
        </w:rPr>
        <w:t xml:space="preserve"> </w:t>
      </w:r>
      <w:r w:rsidR="00976F6B">
        <w:rPr>
          <w:rFonts w:cs="Times New Roman"/>
          <w:szCs w:val="24"/>
        </w:rPr>
        <w:t xml:space="preserve">extensive reading and </w:t>
      </w:r>
      <w:r w:rsidR="004E2C35">
        <w:rPr>
          <w:rFonts w:cs="Times New Roman"/>
          <w:szCs w:val="24"/>
        </w:rPr>
        <w:t>engagement with</w:t>
      </w:r>
      <w:r w:rsidR="002336A3">
        <w:rPr>
          <w:rFonts w:cs="Times New Roman"/>
          <w:szCs w:val="24"/>
        </w:rPr>
        <w:t xml:space="preserve"> </w:t>
      </w:r>
      <w:r w:rsidR="00976F6B">
        <w:rPr>
          <w:rFonts w:cs="Times New Roman"/>
          <w:szCs w:val="24"/>
        </w:rPr>
        <w:t xml:space="preserve">Victorian </w:t>
      </w:r>
      <w:r w:rsidR="002336A3">
        <w:rPr>
          <w:rFonts w:cs="Times New Roman"/>
          <w:szCs w:val="24"/>
        </w:rPr>
        <w:t>politics, culture, society and theory</w:t>
      </w:r>
      <w:r w:rsidR="00DD5237">
        <w:rPr>
          <w:rFonts w:cs="Times New Roman"/>
          <w:szCs w:val="24"/>
        </w:rPr>
        <w:t>.</w:t>
      </w:r>
      <w:r w:rsidR="002B032E">
        <w:rPr>
          <w:rFonts w:cs="Times New Roman"/>
          <w:szCs w:val="24"/>
        </w:rPr>
        <w:t xml:space="preserve"> </w:t>
      </w:r>
    </w:p>
    <w:p w:rsidR="00B939F4" w:rsidRDefault="00DF71DD" w:rsidP="00304954">
      <w:pPr>
        <w:spacing w:line="360" w:lineRule="auto"/>
        <w:ind w:firstLine="720"/>
        <w:jc w:val="both"/>
        <w:rPr>
          <w:rFonts w:cs="Times New Roman"/>
          <w:szCs w:val="24"/>
        </w:rPr>
      </w:pPr>
      <w:r>
        <w:rPr>
          <w:rFonts w:cs="Times New Roman"/>
          <w:szCs w:val="24"/>
        </w:rPr>
        <w:t xml:space="preserve">More recently, </w:t>
      </w:r>
      <w:r w:rsidR="00511B1B">
        <w:rPr>
          <w:rFonts w:cs="Times New Roman"/>
          <w:szCs w:val="24"/>
        </w:rPr>
        <w:t>Marianne Thormählen</w:t>
      </w:r>
      <w:r w:rsidR="00DD5237">
        <w:rPr>
          <w:rFonts w:cs="Times New Roman"/>
          <w:szCs w:val="24"/>
        </w:rPr>
        <w:t xml:space="preserve"> </w:t>
      </w:r>
      <w:r>
        <w:rPr>
          <w:rFonts w:cs="Times New Roman"/>
          <w:szCs w:val="24"/>
        </w:rPr>
        <w:t>also presents</w:t>
      </w:r>
      <w:r w:rsidR="00A27845">
        <w:rPr>
          <w:rFonts w:cs="Times New Roman"/>
          <w:szCs w:val="24"/>
        </w:rPr>
        <w:t xml:space="preserve"> Brontë as a </w:t>
      </w:r>
      <w:r w:rsidR="007E4E08">
        <w:rPr>
          <w:rFonts w:cs="Times New Roman"/>
          <w:szCs w:val="24"/>
        </w:rPr>
        <w:t>writer</w:t>
      </w:r>
      <w:r w:rsidR="00A27845">
        <w:rPr>
          <w:rFonts w:cs="Times New Roman"/>
          <w:szCs w:val="24"/>
        </w:rPr>
        <w:t xml:space="preserve"> aware </w:t>
      </w:r>
      <w:r w:rsidR="007E4E08">
        <w:rPr>
          <w:rFonts w:cs="Times New Roman"/>
          <w:szCs w:val="24"/>
        </w:rPr>
        <w:t>of the</w:t>
      </w:r>
      <w:r w:rsidR="00B939F4">
        <w:rPr>
          <w:rFonts w:cs="Times New Roman"/>
          <w:szCs w:val="24"/>
        </w:rPr>
        <w:t xml:space="preserve"> major social</w:t>
      </w:r>
      <w:r w:rsidR="00A27845">
        <w:rPr>
          <w:rFonts w:cs="Times New Roman"/>
          <w:szCs w:val="24"/>
        </w:rPr>
        <w:t xml:space="preserve"> developments</w:t>
      </w:r>
      <w:r w:rsidR="007E4E08">
        <w:rPr>
          <w:rFonts w:cs="Times New Roman"/>
          <w:szCs w:val="24"/>
        </w:rPr>
        <w:t xml:space="preserve"> of her time</w:t>
      </w:r>
      <w:r w:rsidR="00D01A19">
        <w:rPr>
          <w:rFonts w:cs="Times New Roman"/>
          <w:szCs w:val="24"/>
        </w:rPr>
        <w:t>.</w:t>
      </w:r>
      <w:r w:rsidR="00D01A19" w:rsidRPr="00FA559B">
        <w:rPr>
          <w:rFonts w:cs="Times New Roman"/>
          <w:i/>
          <w:szCs w:val="24"/>
        </w:rPr>
        <w:t xml:space="preserve"> </w:t>
      </w:r>
      <w:r w:rsidR="00511B1B">
        <w:rPr>
          <w:rFonts w:cs="Times New Roman"/>
          <w:szCs w:val="24"/>
        </w:rPr>
        <w:t xml:space="preserve">In </w:t>
      </w:r>
      <w:r w:rsidR="00D01A19" w:rsidRPr="00FA559B">
        <w:rPr>
          <w:rFonts w:cs="Times New Roman"/>
          <w:i/>
          <w:szCs w:val="24"/>
        </w:rPr>
        <w:t>The Brontës and Education</w:t>
      </w:r>
      <w:r w:rsidR="00D01A19">
        <w:rPr>
          <w:rFonts w:cs="Times New Roman"/>
          <w:szCs w:val="24"/>
        </w:rPr>
        <w:t xml:space="preserve"> </w:t>
      </w:r>
      <w:r w:rsidR="00B939F4">
        <w:rPr>
          <w:rFonts w:cs="Times New Roman"/>
          <w:szCs w:val="24"/>
        </w:rPr>
        <w:t xml:space="preserve">(2007) </w:t>
      </w:r>
      <w:r w:rsidR="00511B1B">
        <w:rPr>
          <w:rFonts w:cs="Times New Roman"/>
          <w:szCs w:val="24"/>
        </w:rPr>
        <w:t xml:space="preserve">she </w:t>
      </w:r>
      <w:r w:rsidR="00D01A19">
        <w:rPr>
          <w:rFonts w:cs="Times New Roman"/>
          <w:szCs w:val="24"/>
        </w:rPr>
        <w:t xml:space="preserve">demonstrates how </w:t>
      </w:r>
      <w:r>
        <w:rPr>
          <w:rFonts w:cs="Times New Roman"/>
          <w:szCs w:val="24"/>
        </w:rPr>
        <w:t>their fiction was informed by</w:t>
      </w:r>
      <w:r w:rsidR="00D01A19">
        <w:rPr>
          <w:rFonts w:cs="Times New Roman"/>
          <w:szCs w:val="24"/>
        </w:rPr>
        <w:t xml:space="preserve"> </w:t>
      </w:r>
      <w:r>
        <w:rPr>
          <w:rFonts w:cs="Times New Roman"/>
          <w:szCs w:val="24"/>
        </w:rPr>
        <w:t>government policy and practices</w:t>
      </w:r>
      <w:r w:rsidR="001E69B1">
        <w:rPr>
          <w:rFonts w:cs="Times New Roman"/>
          <w:szCs w:val="24"/>
        </w:rPr>
        <w:t xml:space="preserve">, the work of </w:t>
      </w:r>
      <w:r w:rsidR="00D01A19">
        <w:rPr>
          <w:rFonts w:cs="Times New Roman"/>
          <w:szCs w:val="24"/>
        </w:rPr>
        <w:t>educationalists</w:t>
      </w:r>
      <w:r w:rsidR="00511B1B" w:rsidRPr="00511B1B">
        <w:rPr>
          <w:rFonts w:cs="Times New Roman"/>
          <w:szCs w:val="24"/>
        </w:rPr>
        <w:t xml:space="preserve"> </w:t>
      </w:r>
      <w:r w:rsidR="00511B1B">
        <w:rPr>
          <w:rFonts w:cs="Times New Roman"/>
          <w:szCs w:val="24"/>
        </w:rPr>
        <w:t>in the early nineteenth century</w:t>
      </w:r>
      <w:r w:rsidR="001E69B1">
        <w:rPr>
          <w:rFonts w:cs="Times New Roman"/>
          <w:szCs w:val="24"/>
        </w:rPr>
        <w:t>,</w:t>
      </w:r>
      <w:r w:rsidR="00D01A19">
        <w:rPr>
          <w:rFonts w:cs="Times New Roman"/>
          <w:szCs w:val="24"/>
        </w:rPr>
        <w:t xml:space="preserve"> </w:t>
      </w:r>
      <w:r w:rsidR="001E69B1">
        <w:rPr>
          <w:rFonts w:cs="Times New Roman"/>
          <w:szCs w:val="24"/>
        </w:rPr>
        <w:t>and</w:t>
      </w:r>
      <w:r w:rsidR="00D01A19">
        <w:rPr>
          <w:rFonts w:cs="Times New Roman"/>
          <w:szCs w:val="24"/>
        </w:rPr>
        <w:t xml:space="preserve"> the experience</w:t>
      </w:r>
      <w:r w:rsidR="00303CC4">
        <w:rPr>
          <w:rFonts w:cs="Times New Roman"/>
          <w:szCs w:val="24"/>
        </w:rPr>
        <w:t>s</w:t>
      </w:r>
      <w:r w:rsidR="00D01A19">
        <w:rPr>
          <w:rFonts w:cs="Times New Roman"/>
          <w:szCs w:val="24"/>
        </w:rPr>
        <w:t xml:space="preserve"> of the sisters </w:t>
      </w:r>
      <w:r w:rsidR="001E69B1">
        <w:rPr>
          <w:rFonts w:cs="Times New Roman"/>
          <w:szCs w:val="24"/>
        </w:rPr>
        <w:t xml:space="preserve">themselves </w:t>
      </w:r>
      <w:r w:rsidR="00D01A19">
        <w:rPr>
          <w:rFonts w:cs="Times New Roman"/>
          <w:szCs w:val="24"/>
        </w:rPr>
        <w:t>as pupils,</w:t>
      </w:r>
      <w:r w:rsidR="001E69B1">
        <w:rPr>
          <w:rFonts w:cs="Times New Roman"/>
          <w:szCs w:val="24"/>
        </w:rPr>
        <w:t xml:space="preserve"> teachers and governesses</w:t>
      </w:r>
      <w:r w:rsidR="00D01A19">
        <w:rPr>
          <w:rFonts w:cs="Times New Roman"/>
          <w:szCs w:val="24"/>
        </w:rPr>
        <w:t xml:space="preserve">. </w:t>
      </w:r>
      <w:r w:rsidR="00A27845">
        <w:rPr>
          <w:rFonts w:cs="Times New Roman"/>
          <w:szCs w:val="24"/>
        </w:rPr>
        <w:t xml:space="preserve">The value of </w:t>
      </w:r>
      <w:r w:rsidR="00B939F4">
        <w:rPr>
          <w:rFonts w:cs="Times New Roman"/>
          <w:szCs w:val="24"/>
        </w:rPr>
        <w:t>her book</w:t>
      </w:r>
      <w:r w:rsidR="00DD5237">
        <w:rPr>
          <w:rFonts w:cs="Times New Roman"/>
          <w:szCs w:val="24"/>
        </w:rPr>
        <w:t xml:space="preserve"> is </w:t>
      </w:r>
      <w:r w:rsidR="00B939F4">
        <w:rPr>
          <w:rFonts w:cs="Times New Roman"/>
          <w:szCs w:val="24"/>
        </w:rPr>
        <w:t>its exposure of</w:t>
      </w:r>
      <w:r w:rsidR="00DD5237">
        <w:rPr>
          <w:rFonts w:cs="Times New Roman"/>
          <w:szCs w:val="24"/>
        </w:rPr>
        <w:t xml:space="preserve"> </w:t>
      </w:r>
      <w:r w:rsidR="00A27845">
        <w:rPr>
          <w:rFonts w:cs="Times New Roman"/>
          <w:szCs w:val="24"/>
        </w:rPr>
        <w:t>th</w:t>
      </w:r>
      <w:r w:rsidR="00D01A19">
        <w:rPr>
          <w:rFonts w:cs="Times New Roman"/>
          <w:szCs w:val="24"/>
        </w:rPr>
        <w:t xml:space="preserve">e over-simplifying tendencies </w:t>
      </w:r>
      <w:r w:rsidR="004E2C35">
        <w:rPr>
          <w:rFonts w:cs="Times New Roman"/>
          <w:szCs w:val="24"/>
        </w:rPr>
        <w:t xml:space="preserve">which presented </w:t>
      </w:r>
      <w:r w:rsidR="001E69B1" w:rsidRPr="00A27845">
        <w:rPr>
          <w:rFonts w:cs="Times New Roman"/>
          <w:szCs w:val="24"/>
        </w:rPr>
        <w:t>Brontë</w:t>
      </w:r>
      <w:r w:rsidR="004E2C35">
        <w:rPr>
          <w:rFonts w:cs="Times New Roman"/>
          <w:szCs w:val="24"/>
        </w:rPr>
        <w:t xml:space="preserve"> as </w:t>
      </w:r>
      <w:r w:rsidR="001E69B1">
        <w:rPr>
          <w:rFonts w:cs="Times New Roman"/>
          <w:szCs w:val="24"/>
        </w:rPr>
        <w:t xml:space="preserve">unequivocally </w:t>
      </w:r>
      <w:r w:rsidR="004E2C35">
        <w:rPr>
          <w:rFonts w:cs="Times New Roman"/>
          <w:szCs w:val="24"/>
        </w:rPr>
        <w:t>a radical feminist</w:t>
      </w:r>
      <w:r w:rsidR="005A4E33">
        <w:rPr>
          <w:rFonts w:cs="Times New Roman"/>
          <w:szCs w:val="24"/>
        </w:rPr>
        <w:t>.</w:t>
      </w:r>
      <w:r w:rsidR="00D01A19">
        <w:rPr>
          <w:rFonts w:cs="Times New Roman"/>
          <w:szCs w:val="24"/>
        </w:rPr>
        <w:t xml:space="preserve"> </w:t>
      </w:r>
      <w:r w:rsidR="005A4E33">
        <w:rPr>
          <w:rFonts w:cs="Times New Roman"/>
          <w:szCs w:val="24"/>
        </w:rPr>
        <w:t>S</w:t>
      </w:r>
      <w:r w:rsidR="00A27845">
        <w:rPr>
          <w:rFonts w:cs="Times New Roman"/>
          <w:szCs w:val="24"/>
        </w:rPr>
        <w:t>tudent</w:t>
      </w:r>
      <w:r w:rsidR="007E4E08">
        <w:rPr>
          <w:rFonts w:cs="Times New Roman"/>
          <w:szCs w:val="24"/>
        </w:rPr>
        <w:t>s</w:t>
      </w:r>
      <w:r w:rsidR="00A27845">
        <w:rPr>
          <w:rFonts w:cs="Times New Roman"/>
          <w:szCs w:val="24"/>
        </w:rPr>
        <w:t xml:space="preserve"> of Charlotte </w:t>
      </w:r>
      <w:r w:rsidR="00A27845" w:rsidRPr="00A27845">
        <w:rPr>
          <w:rFonts w:cs="Times New Roman"/>
          <w:szCs w:val="24"/>
        </w:rPr>
        <w:t>Brontë</w:t>
      </w:r>
      <w:r w:rsidR="00A27845">
        <w:rPr>
          <w:rFonts w:cs="Times New Roman"/>
          <w:szCs w:val="24"/>
        </w:rPr>
        <w:t xml:space="preserve"> would be wise to heed </w:t>
      </w:r>
      <w:r w:rsidR="004E2C35">
        <w:rPr>
          <w:rFonts w:cs="Times New Roman"/>
          <w:szCs w:val="24"/>
        </w:rPr>
        <w:t>Thormählen’s</w:t>
      </w:r>
      <w:r w:rsidR="00D01A19">
        <w:rPr>
          <w:rFonts w:cs="Times New Roman"/>
          <w:szCs w:val="24"/>
        </w:rPr>
        <w:t xml:space="preserve"> </w:t>
      </w:r>
      <w:r w:rsidR="00B939F4">
        <w:rPr>
          <w:rFonts w:cs="Times New Roman"/>
          <w:szCs w:val="24"/>
        </w:rPr>
        <w:t>point</w:t>
      </w:r>
      <w:r w:rsidR="00A27845">
        <w:rPr>
          <w:rFonts w:cs="Times New Roman"/>
          <w:szCs w:val="24"/>
        </w:rPr>
        <w:t xml:space="preserve"> that </w:t>
      </w:r>
      <w:r w:rsidR="005A4E33">
        <w:rPr>
          <w:rFonts w:cs="Times New Roman"/>
          <w:szCs w:val="24"/>
        </w:rPr>
        <w:t>the author’s</w:t>
      </w:r>
      <w:r w:rsidR="00B939F4">
        <w:rPr>
          <w:rFonts w:cs="Times New Roman"/>
          <w:szCs w:val="24"/>
        </w:rPr>
        <w:t>:</w:t>
      </w:r>
    </w:p>
    <w:p w:rsidR="00B939F4" w:rsidRDefault="00A27845" w:rsidP="00B939F4">
      <w:pPr>
        <w:spacing w:line="360" w:lineRule="auto"/>
        <w:ind w:left="567"/>
        <w:jc w:val="both"/>
        <w:rPr>
          <w:rFonts w:cs="Times New Roman"/>
          <w:szCs w:val="24"/>
        </w:rPr>
      </w:pPr>
      <w:r w:rsidRPr="00B939F4">
        <w:rPr>
          <w:rFonts w:cs="Times New Roman"/>
          <w:sz w:val="20"/>
        </w:rPr>
        <w:t>correspondence and her fiction contain logically inconsistent views, conflicting values and anxious inconclusive probings. The middle-class Tory woman with her roots in Evangelical Christianity could express sentiments and opinions that would have suited a clubbable Whig male of comfortable mean</w:t>
      </w:r>
      <w:r w:rsidR="00DD5237" w:rsidRPr="00B939F4">
        <w:rPr>
          <w:rFonts w:cs="Times New Roman"/>
          <w:sz w:val="20"/>
        </w:rPr>
        <w:t>s</w:t>
      </w:r>
      <w:r w:rsidRPr="00B939F4">
        <w:rPr>
          <w:rFonts w:cs="Times New Roman"/>
          <w:sz w:val="20"/>
        </w:rPr>
        <w:t xml:space="preserve"> and tepid beliefs or an </w:t>
      </w:r>
      <w:r w:rsidR="00B939F4" w:rsidRPr="00B939F4">
        <w:rPr>
          <w:rFonts w:cs="Times New Roman"/>
          <w:sz w:val="20"/>
        </w:rPr>
        <w:t>ardent Radical working man.</w:t>
      </w:r>
      <w:r w:rsidR="00724829" w:rsidRPr="00B939F4">
        <w:rPr>
          <w:rFonts w:cs="Times New Roman"/>
          <w:sz w:val="20"/>
        </w:rPr>
        <w:t xml:space="preserve"> (</w:t>
      </w:r>
      <w:r w:rsidRPr="00B939F4">
        <w:rPr>
          <w:rFonts w:cs="Times New Roman"/>
          <w:sz w:val="20"/>
        </w:rPr>
        <w:t>26)</w:t>
      </w:r>
      <w:r w:rsidR="00A64B89">
        <w:rPr>
          <w:rFonts w:cs="Times New Roman"/>
          <w:szCs w:val="24"/>
        </w:rPr>
        <w:t xml:space="preserve"> </w:t>
      </w:r>
    </w:p>
    <w:p w:rsidR="00023D49" w:rsidRDefault="007E4E08" w:rsidP="00B939F4">
      <w:pPr>
        <w:spacing w:line="360" w:lineRule="auto"/>
        <w:jc w:val="both"/>
        <w:rPr>
          <w:rFonts w:cs="Times New Roman"/>
          <w:szCs w:val="24"/>
        </w:rPr>
      </w:pPr>
      <w:r>
        <w:rPr>
          <w:rFonts w:cs="Times New Roman"/>
          <w:szCs w:val="24"/>
        </w:rPr>
        <w:t>Highlighting</w:t>
      </w:r>
      <w:r w:rsidR="00A64B89">
        <w:rPr>
          <w:rFonts w:cs="Times New Roman"/>
          <w:szCs w:val="24"/>
        </w:rPr>
        <w:t xml:space="preserve"> the contradictions of hi</w:t>
      </w:r>
      <w:r w:rsidR="008E7C9A">
        <w:rPr>
          <w:rFonts w:cs="Times New Roman"/>
          <w:szCs w:val="24"/>
        </w:rPr>
        <w:t xml:space="preserve">story and people, </w:t>
      </w:r>
      <w:r>
        <w:rPr>
          <w:rFonts w:cs="Times New Roman"/>
          <w:szCs w:val="24"/>
        </w:rPr>
        <w:t>refusing the temptation to make a neat argument,</w:t>
      </w:r>
      <w:r w:rsidR="008E7C9A">
        <w:rPr>
          <w:rFonts w:cs="Times New Roman"/>
          <w:szCs w:val="24"/>
        </w:rPr>
        <w:t xml:space="preserve"> </w:t>
      </w:r>
      <w:r w:rsidR="008E7C9A" w:rsidRPr="00FA559B">
        <w:rPr>
          <w:rFonts w:cs="Times New Roman"/>
          <w:i/>
          <w:szCs w:val="24"/>
        </w:rPr>
        <w:t>The Brontës and Education</w:t>
      </w:r>
      <w:r w:rsidR="008E7C9A">
        <w:rPr>
          <w:rFonts w:cs="Times New Roman"/>
          <w:i/>
          <w:szCs w:val="24"/>
        </w:rPr>
        <w:t xml:space="preserve"> </w:t>
      </w:r>
      <w:r>
        <w:rPr>
          <w:rFonts w:cs="Times New Roman"/>
          <w:szCs w:val="24"/>
        </w:rPr>
        <w:t>not only</w:t>
      </w:r>
      <w:r w:rsidR="008E7C9A">
        <w:rPr>
          <w:rFonts w:cs="Times New Roman"/>
          <w:szCs w:val="24"/>
        </w:rPr>
        <w:t xml:space="preserve"> saturates the alert reader with a </w:t>
      </w:r>
      <w:r>
        <w:rPr>
          <w:rFonts w:cs="Times New Roman"/>
          <w:szCs w:val="24"/>
        </w:rPr>
        <w:t xml:space="preserve">vivid </w:t>
      </w:r>
      <w:r w:rsidR="008E7C9A">
        <w:rPr>
          <w:rFonts w:cs="Times New Roman"/>
          <w:szCs w:val="24"/>
        </w:rPr>
        <w:t>sense of the period</w:t>
      </w:r>
      <w:r w:rsidR="005A4E33">
        <w:rPr>
          <w:rFonts w:cs="Times New Roman"/>
          <w:szCs w:val="24"/>
        </w:rPr>
        <w:t xml:space="preserve"> and its championing of education</w:t>
      </w:r>
      <w:r w:rsidR="008E7C9A">
        <w:rPr>
          <w:rFonts w:cs="Times New Roman"/>
          <w:szCs w:val="24"/>
        </w:rPr>
        <w:t xml:space="preserve">, </w:t>
      </w:r>
      <w:r>
        <w:rPr>
          <w:rFonts w:cs="Times New Roman"/>
          <w:szCs w:val="24"/>
        </w:rPr>
        <w:t>but also brings</w:t>
      </w:r>
      <w:r w:rsidR="008E7C9A">
        <w:rPr>
          <w:rFonts w:cs="Times New Roman"/>
          <w:szCs w:val="24"/>
        </w:rPr>
        <w:t xml:space="preserve"> </w:t>
      </w:r>
      <w:r w:rsidR="005A4E33">
        <w:rPr>
          <w:rFonts w:cs="Times New Roman"/>
          <w:szCs w:val="24"/>
        </w:rPr>
        <w:t xml:space="preserve">Charlotte </w:t>
      </w:r>
      <w:r w:rsidR="00304954">
        <w:rPr>
          <w:rFonts w:cs="Times New Roman"/>
          <w:szCs w:val="24"/>
        </w:rPr>
        <w:t>Brontë, the reluctant governess who wrote about the plight of teachers</w:t>
      </w:r>
      <w:r w:rsidR="00B939F4">
        <w:rPr>
          <w:rFonts w:cs="Times New Roman"/>
          <w:szCs w:val="24"/>
        </w:rPr>
        <w:t>,</w:t>
      </w:r>
      <w:r w:rsidR="00D01A19">
        <w:rPr>
          <w:rFonts w:cs="Times New Roman"/>
          <w:szCs w:val="24"/>
        </w:rPr>
        <w:t xml:space="preserve"> </w:t>
      </w:r>
      <w:r w:rsidR="008E7C9A">
        <w:rPr>
          <w:rFonts w:cs="Times New Roman"/>
          <w:szCs w:val="24"/>
        </w:rPr>
        <w:t>into a new light</w:t>
      </w:r>
      <w:r w:rsidR="005A4E33">
        <w:rPr>
          <w:rFonts w:cs="Times New Roman"/>
          <w:szCs w:val="24"/>
        </w:rPr>
        <w:t xml:space="preserve"> as a woman well-versed in educational theory</w:t>
      </w:r>
      <w:r w:rsidR="008E7C9A">
        <w:rPr>
          <w:rFonts w:cs="Times New Roman"/>
          <w:szCs w:val="24"/>
        </w:rPr>
        <w:t>.</w:t>
      </w:r>
      <w:r>
        <w:rPr>
          <w:rFonts w:cs="Times New Roman"/>
          <w:szCs w:val="24"/>
        </w:rPr>
        <w:t xml:space="preserve"> </w:t>
      </w:r>
    </w:p>
    <w:p w:rsidR="00F27EEC" w:rsidRDefault="00EF4D8F" w:rsidP="00EF4D8F">
      <w:pPr>
        <w:spacing w:line="360" w:lineRule="auto"/>
        <w:ind w:firstLine="720"/>
        <w:jc w:val="both"/>
        <w:rPr>
          <w:rFonts w:cs="Times New Roman"/>
          <w:szCs w:val="24"/>
        </w:rPr>
      </w:pPr>
      <w:r>
        <w:rPr>
          <w:rFonts w:cs="Times New Roman"/>
          <w:szCs w:val="24"/>
        </w:rPr>
        <w:t>The i</w:t>
      </w:r>
      <w:r w:rsidR="00DD5593">
        <w:rPr>
          <w:rFonts w:cs="Times New Roman"/>
          <w:szCs w:val="24"/>
        </w:rPr>
        <w:t xml:space="preserve">ssue of Brontë’s politics </w:t>
      </w:r>
      <w:r>
        <w:rPr>
          <w:rFonts w:cs="Times New Roman"/>
          <w:szCs w:val="24"/>
        </w:rPr>
        <w:t xml:space="preserve">is </w:t>
      </w:r>
      <w:r w:rsidR="001E69B1">
        <w:rPr>
          <w:rFonts w:cs="Times New Roman"/>
          <w:szCs w:val="24"/>
        </w:rPr>
        <w:t xml:space="preserve">thoughtfully </w:t>
      </w:r>
      <w:r w:rsidR="00DD5593">
        <w:rPr>
          <w:rFonts w:cs="Times New Roman"/>
          <w:szCs w:val="24"/>
        </w:rPr>
        <w:t xml:space="preserve">explored in a recent consideration of </w:t>
      </w:r>
      <w:r w:rsidR="00DD5593">
        <w:rPr>
          <w:rFonts w:cs="Times New Roman"/>
          <w:i/>
          <w:szCs w:val="24"/>
        </w:rPr>
        <w:t xml:space="preserve">Jane </w:t>
      </w:r>
      <w:r w:rsidR="00DD5593" w:rsidRPr="00FF6578">
        <w:rPr>
          <w:rFonts w:cs="Times New Roman"/>
          <w:i/>
          <w:szCs w:val="24"/>
        </w:rPr>
        <w:t>Eyre</w:t>
      </w:r>
      <w:r w:rsidR="00DD5593">
        <w:rPr>
          <w:rFonts w:cs="Times New Roman"/>
          <w:szCs w:val="24"/>
        </w:rPr>
        <w:t xml:space="preserve"> a</w:t>
      </w:r>
      <w:r w:rsidR="00DD5593" w:rsidRPr="00FF6578">
        <w:rPr>
          <w:rFonts w:cs="Times New Roman"/>
          <w:szCs w:val="24"/>
        </w:rPr>
        <w:t>s</w:t>
      </w:r>
      <w:r w:rsidR="00DD5593">
        <w:rPr>
          <w:rFonts w:cs="Times New Roman"/>
          <w:szCs w:val="24"/>
        </w:rPr>
        <w:t xml:space="preserve"> representing a ‘Tory nation’ before the onset of rapid technological change. Ruth </w:t>
      </w:r>
      <w:r w:rsidR="00DD5593">
        <w:rPr>
          <w:rFonts w:cs="Times New Roman"/>
          <w:szCs w:val="24"/>
        </w:rPr>
        <w:lastRenderedPageBreak/>
        <w:t xml:space="preserve">Livesey’s journal article ‘Communicating with </w:t>
      </w:r>
      <w:r w:rsidR="00DD5593">
        <w:rPr>
          <w:rFonts w:cs="Times New Roman"/>
          <w:i/>
          <w:szCs w:val="24"/>
        </w:rPr>
        <w:t>Jane Eyre</w:t>
      </w:r>
      <w:r w:rsidR="00DD5593">
        <w:rPr>
          <w:rFonts w:cs="Times New Roman"/>
          <w:szCs w:val="24"/>
        </w:rPr>
        <w:t>: Stagecoach, Mail, and the Tory Nation’ (2011), like Thormählen’s book, explores Brontë’s Tory’s sympathies</w:t>
      </w:r>
      <w:r w:rsidR="001E69B1">
        <w:rPr>
          <w:rFonts w:cs="Times New Roman"/>
          <w:szCs w:val="24"/>
        </w:rPr>
        <w:t xml:space="preserve">. Detailed research </w:t>
      </w:r>
      <w:r w:rsidR="00DD5593">
        <w:rPr>
          <w:rFonts w:cs="Times New Roman"/>
          <w:szCs w:val="24"/>
        </w:rPr>
        <w:t>o</w:t>
      </w:r>
      <w:r w:rsidR="001E69B1">
        <w:rPr>
          <w:rFonts w:cs="Times New Roman"/>
          <w:szCs w:val="24"/>
        </w:rPr>
        <w:t>n</w:t>
      </w:r>
      <w:r w:rsidR="00DD5593">
        <w:rPr>
          <w:rFonts w:cs="Times New Roman"/>
          <w:szCs w:val="24"/>
        </w:rPr>
        <w:t xml:space="preserve"> the history of British transport and communications networks</w:t>
      </w:r>
      <w:r w:rsidR="001E69B1">
        <w:rPr>
          <w:rFonts w:cs="Times New Roman"/>
          <w:szCs w:val="24"/>
        </w:rPr>
        <w:t xml:space="preserve"> which examines </w:t>
      </w:r>
      <w:r w:rsidR="00DD5593">
        <w:rPr>
          <w:rFonts w:cs="Times New Roman"/>
          <w:szCs w:val="24"/>
        </w:rPr>
        <w:t xml:space="preserve">the political opposition between the (Whig) championing of the railways and the (Tory) advocacy of the stage coach, </w:t>
      </w:r>
      <w:r w:rsidR="001E69B1">
        <w:rPr>
          <w:rFonts w:cs="Times New Roman"/>
          <w:szCs w:val="24"/>
        </w:rPr>
        <w:t xml:space="preserve">informs </w:t>
      </w:r>
      <w:r w:rsidR="00DD5593">
        <w:rPr>
          <w:rFonts w:cs="Times New Roman"/>
          <w:szCs w:val="24"/>
        </w:rPr>
        <w:t>Livesey</w:t>
      </w:r>
      <w:r w:rsidR="001E69B1">
        <w:rPr>
          <w:rFonts w:cs="Times New Roman"/>
          <w:szCs w:val="24"/>
        </w:rPr>
        <w:t>’s reading of</w:t>
      </w:r>
      <w:r w:rsidR="00DD5593">
        <w:rPr>
          <w:rFonts w:cs="Times New Roman"/>
          <w:szCs w:val="24"/>
        </w:rPr>
        <w:t xml:space="preserve"> Jane’s journeys via coach in terms of Brontë’s engagement with ‘a wider Tory concept of the nation in which proximity, interest, custom, and mutual obligation defend against the abstractions of individualism and class’ (633).</w:t>
      </w:r>
      <w:r w:rsidR="001E69B1">
        <w:rPr>
          <w:rFonts w:cs="Times New Roman"/>
          <w:szCs w:val="24"/>
        </w:rPr>
        <w:t xml:space="preserve"> </w:t>
      </w:r>
      <w:r w:rsidR="00F27EEC">
        <w:rPr>
          <w:rFonts w:cs="Times New Roman"/>
          <w:szCs w:val="24"/>
        </w:rPr>
        <w:t>Ian Ward</w:t>
      </w:r>
      <w:r>
        <w:rPr>
          <w:rFonts w:cs="Times New Roman"/>
          <w:szCs w:val="24"/>
        </w:rPr>
        <w:t xml:space="preserve"> in</w:t>
      </w:r>
      <w:r w:rsidR="00F27EEC">
        <w:rPr>
          <w:rFonts w:cs="Times New Roman"/>
          <w:szCs w:val="24"/>
        </w:rPr>
        <w:t xml:space="preserve"> </w:t>
      </w:r>
      <w:r w:rsidR="00F27EEC">
        <w:rPr>
          <w:rFonts w:cs="Times New Roman"/>
          <w:i/>
          <w:szCs w:val="24"/>
        </w:rPr>
        <w:t xml:space="preserve">Law and the </w:t>
      </w:r>
      <w:r w:rsidR="00F27EEC" w:rsidRPr="00F27EEC">
        <w:rPr>
          <w:rFonts w:cs="Times New Roman"/>
          <w:i/>
          <w:szCs w:val="24"/>
        </w:rPr>
        <w:t>Brontës</w:t>
      </w:r>
      <w:r w:rsidR="00507330">
        <w:rPr>
          <w:rFonts w:cs="Times New Roman"/>
          <w:szCs w:val="24"/>
        </w:rPr>
        <w:t xml:space="preserve"> (</w:t>
      </w:r>
      <w:r w:rsidR="00F27EEC">
        <w:rPr>
          <w:rFonts w:cs="Times New Roman"/>
          <w:szCs w:val="24"/>
        </w:rPr>
        <w:t>2012)</w:t>
      </w:r>
      <w:r>
        <w:rPr>
          <w:rFonts w:cs="Times New Roman"/>
          <w:szCs w:val="24"/>
        </w:rPr>
        <w:t xml:space="preserve"> </w:t>
      </w:r>
      <w:r w:rsidR="003B1EEC">
        <w:rPr>
          <w:rFonts w:cs="Times New Roman"/>
          <w:szCs w:val="24"/>
        </w:rPr>
        <w:t xml:space="preserve">also presents </w:t>
      </w:r>
      <w:r w:rsidR="0086381A">
        <w:rPr>
          <w:rFonts w:cs="Times New Roman"/>
          <w:szCs w:val="24"/>
        </w:rPr>
        <w:t xml:space="preserve">Charlotte Brontë </w:t>
      </w:r>
      <w:r w:rsidR="001E69B1">
        <w:rPr>
          <w:rFonts w:cs="Times New Roman"/>
          <w:szCs w:val="24"/>
        </w:rPr>
        <w:t>in terms of her</w:t>
      </w:r>
      <w:r w:rsidR="00724829">
        <w:rPr>
          <w:rFonts w:cs="Times New Roman"/>
          <w:szCs w:val="24"/>
        </w:rPr>
        <w:t xml:space="preserve"> ‘Tory instincts’ (</w:t>
      </w:r>
      <w:r w:rsidR="003B1EEC">
        <w:rPr>
          <w:rFonts w:cs="Times New Roman"/>
          <w:szCs w:val="24"/>
        </w:rPr>
        <w:t xml:space="preserve">104). Writing </w:t>
      </w:r>
      <w:r w:rsidR="00F27EEC">
        <w:rPr>
          <w:rFonts w:cs="Times New Roman"/>
          <w:szCs w:val="24"/>
        </w:rPr>
        <w:t>from the pers</w:t>
      </w:r>
      <w:r w:rsidR="003B1EEC">
        <w:rPr>
          <w:rFonts w:cs="Times New Roman"/>
          <w:szCs w:val="24"/>
        </w:rPr>
        <w:t>pective of a professor of law, h</w:t>
      </w:r>
      <w:r w:rsidR="00F27EEC">
        <w:rPr>
          <w:rFonts w:cs="Times New Roman"/>
          <w:szCs w:val="24"/>
        </w:rPr>
        <w:t xml:space="preserve">e considers Rochester and Bertha in relation to contemporary laws on insanity, </w:t>
      </w:r>
      <w:r>
        <w:rPr>
          <w:rFonts w:cs="Times New Roman"/>
          <w:szCs w:val="24"/>
        </w:rPr>
        <w:t xml:space="preserve">while </w:t>
      </w:r>
      <w:r w:rsidR="00F27EEC">
        <w:rPr>
          <w:rFonts w:cs="Times New Roman"/>
          <w:i/>
          <w:szCs w:val="24"/>
        </w:rPr>
        <w:t>Shirley</w:t>
      </w:r>
      <w:r w:rsidR="00F27EEC">
        <w:rPr>
          <w:rFonts w:cs="Times New Roman"/>
          <w:szCs w:val="24"/>
        </w:rPr>
        <w:t xml:space="preserve"> </w:t>
      </w:r>
      <w:r>
        <w:rPr>
          <w:rFonts w:cs="Times New Roman"/>
          <w:szCs w:val="24"/>
        </w:rPr>
        <w:t xml:space="preserve">is read </w:t>
      </w:r>
      <w:r w:rsidR="00F27EEC">
        <w:rPr>
          <w:rFonts w:cs="Times New Roman"/>
          <w:szCs w:val="24"/>
        </w:rPr>
        <w:t>as a novel concerned with ‘the failure of magistracy, and more particularly the failure of paterna</w:t>
      </w:r>
      <w:r w:rsidR="00724829">
        <w:rPr>
          <w:rFonts w:cs="Times New Roman"/>
          <w:szCs w:val="24"/>
        </w:rPr>
        <w:t>l and parochial magistracy’ (</w:t>
      </w:r>
      <w:r w:rsidR="00F27EEC">
        <w:rPr>
          <w:rFonts w:cs="Times New Roman"/>
          <w:szCs w:val="24"/>
        </w:rPr>
        <w:t>108)</w:t>
      </w:r>
      <w:r>
        <w:rPr>
          <w:rFonts w:cs="Times New Roman"/>
          <w:szCs w:val="24"/>
        </w:rPr>
        <w:t>.</w:t>
      </w:r>
      <w:r w:rsidR="00F27EEC">
        <w:rPr>
          <w:rFonts w:cs="Times New Roman"/>
          <w:szCs w:val="24"/>
        </w:rPr>
        <w:t xml:space="preserve"> Ward’s expert understanding </w:t>
      </w:r>
      <w:r w:rsidR="00507330">
        <w:rPr>
          <w:rFonts w:cs="Times New Roman"/>
          <w:szCs w:val="24"/>
        </w:rPr>
        <w:t>of legal history offers</w:t>
      </w:r>
      <w:r w:rsidR="003B1EEC">
        <w:rPr>
          <w:rFonts w:cs="Times New Roman"/>
          <w:szCs w:val="24"/>
        </w:rPr>
        <w:t xml:space="preserve"> </w:t>
      </w:r>
      <w:r w:rsidR="003D5FC2">
        <w:rPr>
          <w:rFonts w:cs="Times New Roman"/>
          <w:szCs w:val="24"/>
        </w:rPr>
        <w:t>invaluable</w:t>
      </w:r>
      <w:r w:rsidR="003B1EEC">
        <w:rPr>
          <w:rFonts w:cs="Times New Roman"/>
          <w:szCs w:val="24"/>
        </w:rPr>
        <w:t xml:space="preserve"> insight</w:t>
      </w:r>
      <w:r w:rsidR="00507330">
        <w:rPr>
          <w:rFonts w:cs="Times New Roman"/>
          <w:szCs w:val="24"/>
        </w:rPr>
        <w:t>s</w:t>
      </w:r>
      <w:r w:rsidR="003B1EEC">
        <w:rPr>
          <w:rFonts w:cs="Times New Roman"/>
          <w:szCs w:val="24"/>
        </w:rPr>
        <w:t xml:space="preserve"> into Charlotte Brontë</w:t>
      </w:r>
      <w:r w:rsidR="0086381A">
        <w:rPr>
          <w:rFonts w:cs="Times New Roman"/>
          <w:szCs w:val="24"/>
        </w:rPr>
        <w:t>’s</w:t>
      </w:r>
      <w:r w:rsidR="003B1EEC">
        <w:rPr>
          <w:rFonts w:cs="Times New Roman"/>
          <w:szCs w:val="24"/>
        </w:rPr>
        <w:t xml:space="preserve"> </w:t>
      </w:r>
      <w:r w:rsidR="0086381A">
        <w:rPr>
          <w:rFonts w:cs="Times New Roman"/>
          <w:szCs w:val="24"/>
        </w:rPr>
        <w:t>interest</w:t>
      </w:r>
      <w:r w:rsidR="003B1EEC">
        <w:rPr>
          <w:rFonts w:cs="Times New Roman"/>
          <w:szCs w:val="24"/>
        </w:rPr>
        <w:t xml:space="preserve"> </w:t>
      </w:r>
      <w:r w:rsidR="0086381A">
        <w:rPr>
          <w:rFonts w:cs="Times New Roman"/>
          <w:szCs w:val="24"/>
        </w:rPr>
        <w:t>in</w:t>
      </w:r>
      <w:r w:rsidR="003B1EEC">
        <w:rPr>
          <w:rFonts w:cs="Times New Roman"/>
          <w:szCs w:val="24"/>
        </w:rPr>
        <w:t xml:space="preserve"> the legal debates of her age</w:t>
      </w:r>
      <w:r w:rsidR="00F27EEC">
        <w:rPr>
          <w:rFonts w:cs="Times New Roman"/>
          <w:szCs w:val="24"/>
        </w:rPr>
        <w:t xml:space="preserve">. </w:t>
      </w:r>
      <w:r w:rsidR="005209CE" w:rsidRPr="005209CE">
        <w:rPr>
          <w:rFonts w:cs="Times New Roman"/>
          <w:szCs w:val="24"/>
        </w:rPr>
        <w:t>Although</w:t>
      </w:r>
      <w:r w:rsidR="00F27EEC" w:rsidRPr="005209CE">
        <w:rPr>
          <w:rFonts w:cs="Times New Roman"/>
          <w:szCs w:val="24"/>
        </w:rPr>
        <w:t xml:space="preserve"> </w:t>
      </w:r>
      <w:r w:rsidR="005209CE">
        <w:rPr>
          <w:rFonts w:cs="Times New Roman"/>
          <w:szCs w:val="24"/>
        </w:rPr>
        <w:t xml:space="preserve">for literary scholars </w:t>
      </w:r>
      <w:r w:rsidR="00DF3408">
        <w:rPr>
          <w:rFonts w:cs="Times New Roman"/>
          <w:szCs w:val="24"/>
        </w:rPr>
        <w:t>Ward’s</w:t>
      </w:r>
      <w:r w:rsidR="00F27EEC" w:rsidRPr="005209CE">
        <w:rPr>
          <w:rFonts w:cs="Times New Roman"/>
          <w:szCs w:val="24"/>
        </w:rPr>
        <w:t xml:space="preserve"> chapters </w:t>
      </w:r>
      <w:r w:rsidR="005209CE">
        <w:rPr>
          <w:rFonts w:cs="Times New Roman"/>
          <w:szCs w:val="24"/>
        </w:rPr>
        <w:t>may seem</w:t>
      </w:r>
      <w:r w:rsidR="00F27EEC" w:rsidRPr="005209CE">
        <w:rPr>
          <w:rFonts w:cs="Times New Roman"/>
          <w:szCs w:val="24"/>
        </w:rPr>
        <w:t xml:space="preserve"> loose</w:t>
      </w:r>
      <w:r w:rsidR="005209CE">
        <w:rPr>
          <w:rFonts w:cs="Times New Roman"/>
          <w:szCs w:val="24"/>
        </w:rPr>
        <w:t>ly organised</w:t>
      </w:r>
      <w:r w:rsidR="00F27EEC" w:rsidRPr="005209CE">
        <w:rPr>
          <w:rFonts w:cs="Times New Roman"/>
          <w:szCs w:val="24"/>
        </w:rPr>
        <w:t xml:space="preserve"> and </w:t>
      </w:r>
      <w:r w:rsidR="00DF3408">
        <w:rPr>
          <w:rFonts w:cs="Times New Roman"/>
          <w:szCs w:val="24"/>
        </w:rPr>
        <w:t>his</w:t>
      </w:r>
      <w:r w:rsidR="00F27EEC" w:rsidRPr="005209CE">
        <w:rPr>
          <w:rFonts w:cs="Times New Roman"/>
          <w:szCs w:val="24"/>
        </w:rPr>
        <w:t xml:space="preserve"> </w:t>
      </w:r>
      <w:r w:rsidR="005209CE">
        <w:rPr>
          <w:rFonts w:cs="Times New Roman"/>
          <w:szCs w:val="24"/>
        </w:rPr>
        <w:t xml:space="preserve">links to the novels sometimes </w:t>
      </w:r>
      <w:r w:rsidR="00DF3408">
        <w:rPr>
          <w:rFonts w:cs="Times New Roman"/>
          <w:szCs w:val="24"/>
        </w:rPr>
        <w:t xml:space="preserve">appear </w:t>
      </w:r>
      <w:r w:rsidR="005209CE">
        <w:rPr>
          <w:rFonts w:cs="Times New Roman"/>
          <w:szCs w:val="24"/>
        </w:rPr>
        <w:t>tenuous</w:t>
      </w:r>
      <w:r w:rsidR="00F27EEC" w:rsidRPr="005209CE">
        <w:rPr>
          <w:rFonts w:cs="Times New Roman"/>
          <w:szCs w:val="24"/>
        </w:rPr>
        <w:t xml:space="preserve">, </w:t>
      </w:r>
      <w:r w:rsidR="00DF3408">
        <w:rPr>
          <w:rFonts w:cs="Times New Roman"/>
          <w:szCs w:val="24"/>
        </w:rPr>
        <w:t>the book’s great strength</w:t>
      </w:r>
      <w:r w:rsidR="005209CE">
        <w:rPr>
          <w:rFonts w:cs="Times New Roman"/>
          <w:szCs w:val="24"/>
        </w:rPr>
        <w:t xml:space="preserve"> lie</w:t>
      </w:r>
      <w:r w:rsidR="00DF3408">
        <w:rPr>
          <w:rFonts w:cs="Times New Roman"/>
          <w:szCs w:val="24"/>
        </w:rPr>
        <w:t>s in hi</w:t>
      </w:r>
      <w:r w:rsidR="005209CE">
        <w:rPr>
          <w:rFonts w:cs="Times New Roman"/>
          <w:szCs w:val="24"/>
        </w:rPr>
        <w:t xml:space="preserve">s revelation of how the legal contexts of the nineteenth century </w:t>
      </w:r>
      <w:r w:rsidR="0086381A">
        <w:rPr>
          <w:rFonts w:cs="Times New Roman"/>
          <w:szCs w:val="24"/>
        </w:rPr>
        <w:t>penetrate</w:t>
      </w:r>
      <w:r w:rsidR="005209CE">
        <w:rPr>
          <w:rFonts w:cs="Times New Roman"/>
          <w:szCs w:val="24"/>
        </w:rPr>
        <w:t xml:space="preserve"> Brontë’s work</w:t>
      </w:r>
      <w:r w:rsidR="00DF3408">
        <w:rPr>
          <w:rFonts w:cs="Times New Roman"/>
          <w:szCs w:val="24"/>
        </w:rPr>
        <w:t xml:space="preserve"> at every level. He</w:t>
      </w:r>
      <w:r w:rsidR="00197C53">
        <w:rPr>
          <w:rFonts w:cs="Times New Roman"/>
          <w:szCs w:val="24"/>
        </w:rPr>
        <w:t xml:space="preserve"> also convey</w:t>
      </w:r>
      <w:r w:rsidR="00DF3408">
        <w:rPr>
          <w:rFonts w:cs="Times New Roman"/>
          <w:szCs w:val="24"/>
        </w:rPr>
        <w:t>s a sense of</w:t>
      </w:r>
      <w:r w:rsidR="00197C53">
        <w:rPr>
          <w:rFonts w:cs="Times New Roman"/>
          <w:szCs w:val="24"/>
        </w:rPr>
        <w:t xml:space="preserve"> </w:t>
      </w:r>
      <w:r w:rsidR="0086381A">
        <w:rPr>
          <w:rFonts w:cs="Times New Roman"/>
          <w:szCs w:val="24"/>
        </w:rPr>
        <w:t xml:space="preserve">the </w:t>
      </w:r>
      <w:r w:rsidR="00197C53">
        <w:rPr>
          <w:rFonts w:cs="Times New Roman"/>
          <w:szCs w:val="24"/>
        </w:rPr>
        <w:t xml:space="preserve">bigger </w:t>
      </w:r>
      <w:r w:rsidR="00DF3408">
        <w:rPr>
          <w:rFonts w:cs="Times New Roman"/>
          <w:szCs w:val="24"/>
        </w:rPr>
        <w:t>interactions</w:t>
      </w:r>
      <w:r w:rsidR="00197C53">
        <w:rPr>
          <w:rFonts w:cs="Times New Roman"/>
          <w:szCs w:val="24"/>
        </w:rPr>
        <w:t xml:space="preserve"> </w:t>
      </w:r>
      <w:r w:rsidR="0086381A">
        <w:rPr>
          <w:rFonts w:cs="Times New Roman"/>
          <w:szCs w:val="24"/>
        </w:rPr>
        <w:t xml:space="preserve">of culture and society </w:t>
      </w:r>
      <w:r w:rsidR="00DF3408">
        <w:rPr>
          <w:rFonts w:cs="Times New Roman"/>
          <w:szCs w:val="24"/>
        </w:rPr>
        <w:t>when he demonstrates</w:t>
      </w:r>
      <w:r w:rsidR="00197C53">
        <w:rPr>
          <w:rFonts w:cs="Times New Roman"/>
          <w:szCs w:val="24"/>
        </w:rPr>
        <w:t xml:space="preserve"> how literary texts ‘humanise’ the law and ‘contribute to the creation of a broader ju</w:t>
      </w:r>
      <w:r w:rsidR="00724829">
        <w:rPr>
          <w:rFonts w:cs="Times New Roman"/>
          <w:szCs w:val="24"/>
        </w:rPr>
        <w:t>risprudential consciousness’ (</w:t>
      </w:r>
      <w:r w:rsidR="00197C53">
        <w:rPr>
          <w:rFonts w:cs="Times New Roman"/>
          <w:szCs w:val="24"/>
        </w:rPr>
        <w:t>143). Literature, he maintains, by</w:t>
      </w:r>
      <w:r w:rsidR="003D5FC2">
        <w:rPr>
          <w:rFonts w:cs="Times New Roman"/>
          <w:szCs w:val="24"/>
        </w:rPr>
        <w:t xml:space="preserve"> ‘fashion[ing] its own reality’</w:t>
      </w:r>
      <w:r w:rsidR="00197C53">
        <w:rPr>
          <w:rFonts w:cs="Times New Roman"/>
          <w:szCs w:val="24"/>
        </w:rPr>
        <w:t xml:space="preserve"> throws into relief the social structures </w:t>
      </w:r>
      <w:r w:rsidR="003B1EEC">
        <w:rPr>
          <w:rFonts w:cs="Times New Roman"/>
          <w:szCs w:val="24"/>
        </w:rPr>
        <w:t>and processes which are</w:t>
      </w:r>
      <w:r w:rsidR="00197C53">
        <w:rPr>
          <w:rFonts w:cs="Times New Roman"/>
          <w:szCs w:val="24"/>
        </w:rPr>
        <w:t xml:space="preserve"> </w:t>
      </w:r>
      <w:r w:rsidR="003B1EEC">
        <w:rPr>
          <w:rFonts w:cs="Times New Roman"/>
          <w:szCs w:val="24"/>
        </w:rPr>
        <w:t>dehumanis</w:t>
      </w:r>
      <w:r w:rsidR="004247AB">
        <w:rPr>
          <w:rFonts w:cs="Times New Roman"/>
          <w:szCs w:val="24"/>
        </w:rPr>
        <w:t>ed or obscured by</w:t>
      </w:r>
      <w:r w:rsidR="003B1EEC">
        <w:rPr>
          <w:rFonts w:cs="Times New Roman"/>
          <w:szCs w:val="24"/>
        </w:rPr>
        <w:t xml:space="preserve"> the </w:t>
      </w:r>
      <w:r w:rsidR="00724829">
        <w:rPr>
          <w:rFonts w:cs="Times New Roman"/>
          <w:szCs w:val="24"/>
        </w:rPr>
        <w:t>press</w:t>
      </w:r>
      <w:r w:rsidR="00FE7B65">
        <w:rPr>
          <w:rFonts w:cs="Times New Roman"/>
          <w:szCs w:val="24"/>
        </w:rPr>
        <w:t>’</w:t>
      </w:r>
      <w:r w:rsidR="00724829">
        <w:rPr>
          <w:rFonts w:cs="Times New Roman"/>
          <w:szCs w:val="24"/>
        </w:rPr>
        <w:t xml:space="preserve"> (</w:t>
      </w:r>
      <w:r w:rsidR="006B3B5D">
        <w:rPr>
          <w:rFonts w:cs="Times New Roman"/>
          <w:szCs w:val="24"/>
        </w:rPr>
        <w:t>144).</w:t>
      </w:r>
      <w:r w:rsidR="00DF3408">
        <w:rPr>
          <w:rFonts w:cs="Times New Roman"/>
          <w:szCs w:val="24"/>
        </w:rPr>
        <w:t xml:space="preserve"> Charlotte Brontë, then, is offered up </w:t>
      </w:r>
      <w:r w:rsidR="0086381A">
        <w:rPr>
          <w:rFonts w:cs="Times New Roman"/>
          <w:szCs w:val="24"/>
        </w:rPr>
        <w:t xml:space="preserve">by Ward </w:t>
      </w:r>
      <w:r w:rsidR="00DF3408">
        <w:rPr>
          <w:rFonts w:cs="Times New Roman"/>
          <w:szCs w:val="24"/>
        </w:rPr>
        <w:t xml:space="preserve">as a significant voice in history, as well as a </w:t>
      </w:r>
      <w:r w:rsidR="00B939F4">
        <w:rPr>
          <w:rFonts w:cs="Times New Roman"/>
          <w:szCs w:val="24"/>
        </w:rPr>
        <w:t xml:space="preserve">major </w:t>
      </w:r>
      <w:r w:rsidR="00DF3408">
        <w:rPr>
          <w:rFonts w:cs="Times New Roman"/>
          <w:szCs w:val="24"/>
        </w:rPr>
        <w:t>writer of fiction.</w:t>
      </w:r>
    </w:p>
    <w:p w:rsidR="00426E11" w:rsidRDefault="00304954" w:rsidP="00426E11">
      <w:pPr>
        <w:spacing w:line="360" w:lineRule="auto"/>
        <w:ind w:firstLine="720"/>
        <w:jc w:val="both"/>
        <w:rPr>
          <w:rFonts w:cs="Times New Roman"/>
          <w:szCs w:val="24"/>
        </w:rPr>
      </w:pPr>
      <w:r>
        <w:rPr>
          <w:rFonts w:cs="Times New Roman"/>
          <w:szCs w:val="24"/>
        </w:rPr>
        <w:t xml:space="preserve">Brontë’s </w:t>
      </w:r>
      <w:r w:rsidR="00833DB6">
        <w:rPr>
          <w:rFonts w:cs="Times New Roman"/>
          <w:szCs w:val="24"/>
        </w:rPr>
        <w:t xml:space="preserve">equally complex </w:t>
      </w:r>
      <w:r>
        <w:rPr>
          <w:rFonts w:cs="Times New Roman"/>
          <w:szCs w:val="24"/>
        </w:rPr>
        <w:t xml:space="preserve">relationship to the arts </w:t>
      </w:r>
      <w:r w:rsidR="000E15D5">
        <w:rPr>
          <w:rFonts w:cs="Times New Roman"/>
          <w:szCs w:val="24"/>
        </w:rPr>
        <w:t>is explored by a number of contributors to</w:t>
      </w:r>
      <w:r w:rsidRPr="00304954">
        <w:rPr>
          <w:rFonts w:cs="Times New Roman"/>
          <w:szCs w:val="24"/>
        </w:rPr>
        <w:t xml:space="preserve"> Sandra Hagan and Juliette Wells</w:t>
      </w:r>
      <w:r>
        <w:rPr>
          <w:rFonts w:cs="Times New Roman"/>
          <w:szCs w:val="24"/>
        </w:rPr>
        <w:t>’s</w:t>
      </w:r>
      <w:r w:rsidRPr="00304954">
        <w:rPr>
          <w:rFonts w:cs="Times New Roman"/>
          <w:szCs w:val="24"/>
        </w:rPr>
        <w:t xml:space="preserve"> </w:t>
      </w:r>
      <w:r>
        <w:rPr>
          <w:rFonts w:cs="Times New Roman"/>
          <w:szCs w:val="24"/>
        </w:rPr>
        <w:t>edited collection of essays</w:t>
      </w:r>
      <w:r w:rsidR="000E15D5">
        <w:rPr>
          <w:rFonts w:cs="Times New Roman"/>
          <w:szCs w:val="24"/>
        </w:rPr>
        <w:t>,</w:t>
      </w:r>
      <w:r w:rsidRPr="00304954">
        <w:rPr>
          <w:rFonts w:cs="Times New Roman"/>
          <w:szCs w:val="24"/>
        </w:rPr>
        <w:t xml:space="preserve"> </w:t>
      </w:r>
      <w:r w:rsidRPr="00304954">
        <w:rPr>
          <w:rFonts w:cs="Times New Roman"/>
          <w:i/>
          <w:szCs w:val="24"/>
        </w:rPr>
        <w:t>The Brontës and the World of the Arts</w:t>
      </w:r>
      <w:r w:rsidRPr="00304954">
        <w:rPr>
          <w:rFonts w:cs="Times New Roman"/>
          <w:szCs w:val="24"/>
        </w:rPr>
        <w:t xml:space="preserve"> (2008)</w:t>
      </w:r>
      <w:r w:rsidR="000E15D5">
        <w:rPr>
          <w:rFonts w:cs="Times New Roman"/>
          <w:szCs w:val="24"/>
        </w:rPr>
        <w:t xml:space="preserve">. </w:t>
      </w:r>
      <w:r w:rsidR="00426E11">
        <w:rPr>
          <w:rFonts w:cs="Times New Roman"/>
          <w:szCs w:val="24"/>
        </w:rPr>
        <w:t>A particularly welcome</w:t>
      </w:r>
      <w:r w:rsidR="001E69B1">
        <w:rPr>
          <w:rFonts w:cs="Times New Roman"/>
          <w:szCs w:val="24"/>
        </w:rPr>
        <w:t xml:space="preserve"> addition to Brontë studies is the</w:t>
      </w:r>
      <w:r w:rsidR="00426E11">
        <w:rPr>
          <w:rFonts w:cs="Times New Roman"/>
          <w:szCs w:val="24"/>
        </w:rPr>
        <w:t xml:space="preserve"> chapter on </w:t>
      </w:r>
      <w:r w:rsidR="00426E11">
        <w:rPr>
          <w:rFonts w:cs="Times New Roman"/>
          <w:i/>
          <w:szCs w:val="24"/>
        </w:rPr>
        <w:t>Shirley</w:t>
      </w:r>
      <w:r w:rsidR="00426E11">
        <w:rPr>
          <w:rFonts w:cs="Times New Roman"/>
          <w:szCs w:val="24"/>
        </w:rPr>
        <w:t xml:space="preserve"> by Juliette Wells with Ruth A. Solie, ‘</w:t>
      </w:r>
      <w:r w:rsidR="00426E11">
        <w:rPr>
          <w:rFonts w:cs="Times New Roman"/>
          <w:i/>
          <w:szCs w:val="24"/>
        </w:rPr>
        <w:t>Shirley</w:t>
      </w:r>
      <w:r w:rsidR="00426E11">
        <w:rPr>
          <w:rFonts w:cs="Times New Roman"/>
          <w:szCs w:val="24"/>
        </w:rPr>
        <w:t>’s Window on a Musical Society in Transition’, which demonstrates how Charlotte Brontë:</w:t>
      </w:r>
    </w:p>
    <w:p w:rsidR="001E69B1" w:rsidRDefault="00426E11" w:rsidP="001E69B1">
      <w:pPr>
        <w:spacing w:line="360" w:lineRule="auto"/>
        <w:ind w:left="567"/>
        <w:jc w:val="both"/>
        <w:rPr>
          <w:rFonts w:cs="Times New Roman"/>
          <w:sz w:val="20"/>
        </w:rPr>
      </w:pPr>
      <w:r w:rsidRPr="00833DB6">
        <w:rPr>
          <w:rFonts w:cs="Times New Roman"/>
          <w:sz w:val="20"/>
        </w:rPr>
        <w:t xml:space="preserve">responds to and sometimes questions a host of early-Victorian beliefs about music’s power and significance, including its supposed capacity to ennoble its genteel practitioners, to sustain and renew family bonds, to intensify Christian devotion, and to uplift the minds of working people. (103) </w:t>
      </w:r>
    </w:p>
    <w:p w:rsidR="00304954" w:rsidRDefault="00426E11" w:rsidP="001E69B1">
      <w:pPr>
        <w:spacing w:line="360" w:lineRule="auto"/>
        <w:jc w:val="both"/>
        <w:rPr>
          <w:rFonts w:cs="Times New Roman"/>
          <w:szCs w:val="24"/>
        </w:rPr>
      </w:pPr>
      <w:r>
        <w:rPr>
          <w:rFonts w:cs="Times New Roman"/>
          <w:szCs w:val="24"/>
        </w:rPr>
        <w:t xml:space="preserve">This essay interestingly links Brontë’s representation of music in </w:t>
      </w:r>
      <w:r>
        <w:rPr>
          <w:rFonts w:cs="Times New Roman"/>
          <w:i/>
          <w:szCs w:val="24"/>
        </w:rPr>
        <w:t>Shirley</w:t>
      </w:r>
      <w:r>
        <w:rPr>
          <w:rFonts w:cs="Times New Roman"/>
          <w:szCs w:val="24"/>
        </w:rPr>
        <w:t xml:space="preserve"> to issues of gender and nationality.</w:t>
      </w:r>
      <w:r w:rsidR="001E3DBB">
        <w:rPr>
          <w:rFonts w:cs="Times New Roman"/>
          <w:szCs w:val="24"/>
        </w:rPr>
        <w:t xml:space="preserve"> </w:t>
      </w:r>
      <w:r w:rsidR="000E15D5">
        <w:rPr>
          <w:rFonts w:cs="Times New Roman"/>
          <w:szCs w:val="24"/>
        </w:rPr>
        <w:t xml:space="preserve">Christine Alexander’s chapter ‘Educating “The Artist’s Eye”: Charlotte Brontë and the Pictorial Image’ is wide-ranging </w:t>
      </w:r>
      <w:r w:rsidR="00833DB6">
        <w:rPr>
          <w:rFonts w:cs="Times New Roman"/>
          <w:szCs w:val="24"/>
        </w:rPr>
        <w:t>in its</w:t>
      </w:r>
      <w:r w:rsidR="000E15D5">
        <w:rPr>
          <w:rFonts w:cs="Times New Roman"/>
          <w:szCs w:val="24"/>
        </w:rPr>
        <w:t xml:space="preserve"> analyses </w:t>
      </w:r>
      <w:r w:rsidR="00833DB6">
        <w:rPr>
          <w:rFonts w:cs="Times New Roman"/>
          <w:szCs w:val="24"/>
        </w:rPr>
        <w:t xml:space="preserve">of </w:t>
      </w:r>
      <w:r w:rsidR="000E15D5">
        <w:rPr>
          <w:rFonts w:cs="Times New Roman"/>
          <w:szCs w:val="24"/>
        </w:rPr>
        <w:t>the author’s drawings and paintings, her love of the fine arts and illustration</w:t>
      </w:r>
      <w:r w:rsidR="00833DB6">
        <w:rPr>
          <w:rFonts w:cs="Times New Roman"/>
          <w:szCs w:val="24"/>
        </w:rPr>
        <w:t xml:space="preserve"> which originated in childhood</w:t>
      </w:r>
      <w:r w:rsidR="000E15D5">
        <w:rPr>
          <w:rFonts w:cs="Times New Roman"/>
          <w:szCs w:val="24"/>
        </w:rPr>
        <w:t xml:space="preserve">, her ambitions to be an artist, and her representations of art and artists in her novels. </w:t>
      </w:r>
    </w:p>
    <w:p w:rsidR="005411E5" w:rsidRPr="00BA5814" w:rsidRDefault="005A55A3" w:rsidP="008E7C9A">
      <w:pPr>
        <w:spacing w:line="360" w:lineRule="auto"/>
        <w:ind w:firstLine="720"/>
        <w:jc w:val="both"/>
        <w:rPr>
          <w:rFonts w:cs="Times New Roman"/>
          <w:szCs w:val="24"/>
        </w:rPr>
      </w:pPr>
      <w:r>
        <w:rPr>
          <w:rFonts w:cs="Times New Roman"/>
          <w:szCs w:val="24"/>
        </w:rPr>
        <w:lastRenderedPageBreak/>
        <w:t>The h</w:t>
      </w:r>
      <w:r w:rsidR="00DF3408">
        <w:rPr>
          <w:rFonts w:cs="Times New Roman"/>
          <w:szCs w:val="24"/>
        </w:rPr>
        <w:t xml:space="preserve">istoricist studies </w:t>
      </w:r>
      <w:r>
        <w:rPr>
          <w:rFonts w:cs="Times New Roman"/>
          <w:szCs w:val="24"/>
        </w:rPr>
        <w:t xml:space="preserve">I’ve discussed so far </w:t>
      </w:r>
      <w:r w:rsidR="00DF3408">
        <w:rPr>
          <w:rFonts w:cs="Times New Roman"/>
          <w:szCs w:val="24"/>
        </w:rPr>
        <w:t xml:space="preserve">depend upon a painstaking analysis of </w:t>
      </w:r>
      <w:r>
        <w:rPr>
          <w:rFonts w:cs="Times New Roman"/>
          <w:szCs w:val="24"/>
        </w:rPr>
        <w:t>the historical archive</w:t>
      </w:r>
      <w:r w:rsidR="00DD5593">
        <w:rPr>
          <w:rFonts w:cs="Times New Roman"/>
          <w:szCs w:val="24"/>
        </w:rPr>
        <w:t>;</w:t>
      </w:r>
      <w:r>
        <w:rPr>
          <w:rFonts w:cs="Times New Roman"/>
          <w:szCs w:val="24"/>
        </w:rPr>
        <w:t xml:space="preserve"> however </w:t>
      </w:r>
      <w:r w:rsidR="00DF3408">
        <w:rPr>
          <w:rFonts w:cs="Times New Roman"/>
          <w:szCs w:val="24"/>
        </w:rPr>
        <w:t xml:space="preserve">not all scholars </w:t>
      </w:r>
      <w:r w:rsidR="004112B9">
        <w:rPr>
          <w:rFonts w:cs="Times New Roman"/>
          <w:szCs w:val="24"/>
        </w:rPr>
        <w:t>have been</w:t>
      </w:r>
      <w:r>
        <w:rPr>
          <w:rFonts w:cs="Times New Roman"/>
          <w:szCs w:val="24"/>
        </w:rPr>
        <w:t xml:space="preserve"> prepared to </w:t>
      </w:r>
      <w:r w:rsidR="00AA461A">
        <w:rPr>
          <w:rFonts w:cs="Times New Roman"/>
          <w:szCs w:val="24"/>
        </w:rPr>
        <w:t>take</w:t>
      </w:r>
      <w:r>
        <w:rPr>
          <w:rFonts w:cs="Times New Roman"/>
          <w:szCs w:val="24"/>
        </w:rPr>
        <w:t xml:space="preserve"> </w:t>
      </w:r>
      <w:r w:rsidR="004112B9">
        <w:rPr>
          <w:rFonts w:cs="Times New Roman"/>
          <w:szCs w:val="24"/>
        </w:rPr>
        <w:t xml:space="preserve">the necessary </w:t>
      </w:r>
      <w:r>
        <w:rPr>
          <w:rFonts w:cs="Times New Roman"/>
          <w:szCs w:val="24"/>
        </w:rPr>
        <w:t>pains</w:t>
      </w:r>
      <w:r w:rsidR="00AA461A">
        <w:rPr>
          <w:rFonts w:cs="Times New Roman"/>
          <w:szCs w:val="24"/>
        </w:rPr>
        <w:t xml:space="preserve">. </w:t>
      </w:r>
      <w:r>
        <w:rPr>
          <w:rFonts w:cs="Times New Roman"/>
          <w:szCs w:val="24"/>
        </w:rPr>
        <w:t>S</w:t>
      </w:r>
      <w:r w:rsidR="00CD6A53">
        <w:rPr>
          <w:rFonts w:cs="Times New Roman"/>
          <w:szCs w:val="24"/>
        </w:rPr>
        <w:t>ome</w:t>
      </w:r>
      <w:r w:rsidR="00AA461A">
        <w:rPr>
          <w:rFonts w:cs="Times New Roman"/>
          <w:szCs w:val="24"/>
        </w:rPr>
        <w:t xml:space="preserve"> </w:t>
      </w:r>
      <w:r>
        <w:rPr>
          <w:rFonts w:cs="Times New Roman"/>
          <w:szCs w:val="24"/>
        </w:rPr>
        <w:t xml:space="preserve">potentially </w:t>
      </w:r>
      <w:r w:rsidR="00AA461A">
        <w:rPr>
          <w:rFonts w:cs="Times New Roman"/>
          <w:szCs w:val="24"/>
        </w:rPr>
        <w:t xml:space="preserve">worthwhile </w:t>
      </w:r>
      <w:r w:rsidR="004112B9">
        <w:rPr>
          <w:rFonts w:cs="Times New Roman"/>
          <w:szCs w:val="24"/>
        </w:rPr>
        <w:t>discussions</w:t>
      </w:r>
      <w:r w:rsidR="00AA461A">
        <w:rPr>
          <w:rFonts w:cs="Times New Roman"/>
          <w:szCs w:val="24"/>
        </w:rPr>
        <w:t xml:space="preserve"> of Charlotte Brontë’s work </w:t>
      </w:r>
      <w:r>
        <w:rPr>
          <w:rFonts w:cs="Times New Roman"/>
          <w:szCs w:val="24"/>
        </w:rPr>
        <w:t xml:space="preserve">have </w:t>
      </w:r>
      <w:r w:rsidR="00AA461A">
        <w:rPr>
          <w:rFonts w:cs="Times New Roman"/>
          <w:szCs w:val="24"/>
        </w:rPr>
        <w:t>unravel</w:t>
      </w:r>
      <w:r>
        <w:rPr>
          <w:rFonts w:cs="Times New Roman"/>
          <w:szCs w:val="24"/>
        </w:rPr>
        <w:t>led</w:t>
      </w:r>
      <w:r w:rsidR="00AA461A">
        <w:rPr>
          <w:rFonts w:cs="Times New Roman"/>
          <w:szCs w:val="24"/>
        </w:rPr>
        <w:t xml:space="preserve"> </w:t>
      </w:r>
      <w:r w:rsidR="004112B9">
        <w:rPr>
          <w:rFonts w:cs="Times New Roman"/>
          <w:szCs w:val="24"/>
        </w:rPr>
        <w:t>because their arguments are</w:t>
      </w:r>
      <w:r w:rsidR="00AA461A">
        <w:rPr>
          <w:rFonts w:cs="Times New Roman"/>
          <w:szCs w:val="24"/>
        </w:rPr>
        <w:t xml:space="preserve"> </w:t>
      </w:r>
      <w:r>
        <w:rPr>
          <w:rFonts w:cs="Times New Roman"/>
          <w:szCs w:val="24"/>
        </w:rPr>
        <w:t xml:space="preserve">based on </w:t>
      </w:r>
      <w:r w:rsidR="00DD5593">
        <w:rPr>
          <w:rFonts w:cs="Times New Roman"/>
          <w:szCs w:val="24"/>
        </w:rPr>
        <w:t xml:space="preserve">historical </w:t>
      </w:r>
      <w:r w:rsidR="00AA461A">
        <w:rPr>
          <w:rFonts w:cs="Times New Roman"/>
          <w:szCs w:val="24"/>
        </w:rPr>
        <w:t xml:space="preserve">inaccuracies. </w:t>
      </w:r>
      <w:r w:rsidR="00A157F3">
        <w:rPr>
          <w:rFonts w:cs="Times New Roman"/>
          <w:szCs w:val="24"/>
        </w:rPr>
        <w:t>Ayşe</w:t>
      </w:r>
      <w:r w:rsidR="00AA461A">
        <w:rPr>
          <w:rFonts w:cs="Times New Roman"/>
          <w:szCs w:val="24"/>
        </w:rPr>
        <w:t xml:space="preserve"> Çelikkol in</w:t>
      </w:r>
      <w:r w:rsidR="001B6BB0">
        <w:rPr>
          <w:rFonts w:cs="Times New Roman"/>
          <w:szCs w:val="24"/>
        </w:rPr>
        <w:t xml:space="preserve"> </w:t>
      </w:r>
      <w:r w:rsidR="001B6BB0">
        <w:rPr>
          <w:rFonts w:cs="Times New Roman"/>
          <w:i/>
          <w:szCs w:val="24"/>
        </w:rPr>
        <w:t>Romances of Free Trade: British Literature, Laissez-faire, and the Global Nineteenth Century</w:t>
      </w:r>
      <w:r w:rsidR="00AA461A">
        <w:rPr>
          <w:rFonts w:cs="Times New Roman"/>
          <w:szCs w:val="24"/>
        </w:rPr>
        <w:t xml:space="preserve"> (2011)</w:t>
      </w:r>
      <w:r w:rsidR="001B6BB0">
        <w:rPr>
          <w:rFonts w:cs="Times New Roman"/>
          <w:szCs w:val="24"/>
        </w:rPr>
        <w:t xml:space="preserve"> </w:t>
      </w:r>
      <w:r w:rsidR="00FF6578">
        <w:rPr>
          <w:rFonts w:cs="Times New Roman"/>
          <w:szCs w:val="24"/>
        </w:rPr>
        <w:t>examines</w:t>
      </w:r>
      <w:r w:rsidR="00A157F3">
        <w:rPr>
          <w:rFonts w:cs="Times New Roman"/>
          <w:szCs w:val="24"/>
        </w:rPr>
        <w:t xml:space="preserve"> </w:t>
      </w:r>
      <w:r w:rsidR="001B6BB0">
        <w:rPr>
          <w:rFonts w:cs="Times New Roman"/>
          <w:szCs w:val="24"/>
        </w:rPr>
        <w:t xml:space="preserve">Charlotte Brontë’s </w:t>
      </w:r>
      <w:r w:rsidR="00A157F3">
        <w:rPr>
          <w:rFonts w:cs="Times New Roman"/>
          <w:szCs w:val="24"/>
        </w:rPr>
        <w:t>‘deep</w:t>
      </w:r>
      <w:r w:rsidR="00FF6578">
        <w:rPr>
          <w:rFonts w:cs="Times New Roman"/>
          <w:szCs w:val="24"/>
        </w:rPr>
        <w:t xml:space="preserve"> interest in free trade debates’</w:t>
      </w:r>
      <w:r w:rsidR="001B6BB0">
        <w:rPr>
          <w:rFonts w:cs="Times New Roman"/>
          <w:szCs w:val="24"/>
        </w:rPr>
        <w:t xml:space="preserve"> </w:t>
      </w:r>
      <w:r w:rsidR="00FF6578">
        <w:rPr>
          <w:rFonts w:cs="Times New Roman"/>
          <w:szCs w:val="24"/>
        </w:rPr>
        <w:t>in</w:t>
      </w:r>
      <w:r w:rsidR="00A157F3">
        <w:rPr>
          <w:rFonts w:cs="Times New Roman"/>
          <w:szCs w:val="24"/>
        </w:rPr>
        <w:t xml:space="preserve"> </w:t>
      </w:r>
      <w:r w:rsidR="001B6BB0">
        <w:rPr>
          <w:rFonts w:cs="Times New Roman"/>
          <w:i/>
          <w:szCs w:val="24"/>
        </w:rPr>
        <w:t>Shirley</w:t>
      </w:r>
      <w:r w:rsidR="00A157F3">
        <w:rPr>
          <w:rFonts w:cs="Times New Roman"/>
          <w:szCs w:val="24"/>
        </w:rPr>
        <w:t xml:space="preserve"> (102). </w:t>
      </w:r>
      <w:r w:rsidR="001B6BB0">
        <w:rPr>
          <w:rFonts w:cs="Times New Roman"/>
          <w:szCs w:val="24"/>
        </w:rPr>
        <w:t>Emphasising</w:t>
      </w:r>
      <w:r w:rsidR="005411E5">
        <w:rPr>
          <w:rFonts w:cs="Times New Roman"/>
          <w:szCs w:val="24"/>
        </w:rPr>
        <w:t xml:space="preserve"> the global reach of the novel’s free trade rhetoric, Çelikkol refers to Robert Moore, the Yorkshire manufacturer hero of </w:t>
      </w:r>
      <w:r w:rsidR="005411E5">
        <w:rPr>
          <w:rFonts w:cs="Times New Roman"/>
          <w:i/>
          <w:szCs w:val="24"/>
        </w:rPr>
        <w:t>Shirley</w:t>
      </w:r>
      <w:r w:rsidR="005411E5">
        <w:rPr>
          <w:rFonts w:cs="Times New Roman"/>
          <w:szCs w:val="24"/>
        </w:rPr>
        <w:t>,</w:t>
      </w:r>
      <w:r w:rsidR="005411E5">
        <w:rPr>
          <w:rFonts w:cs="Times New Roman"/>
          <w:i/>
          <w:szCs w:val="24"/>
        </w:rPr>
        <w:t xml:space="preserve"> </w:t>
      </w:r>
      <w:r w:rsidR="00DD5237" w:rsidRPr="00DD5237">
        <w:rPr>
          <w:rFonts w:cs="Times New Roman"/>
          <w:szCs w:val="24"/>
        </w:rPr>
        <w:t>as</w:t>
      </w:r>
      <w:r w:rsidR="00DD5237">
        <w:rPr>
          <w:rFonts w:cs="Times New Roman"/>
          <w:i/>
          <w:szCs w:val="24"/>
        </w:rPr>
        <w:t xml:space="preserve"> </w:t>
      </w:r>
      <w:r w:rsidR="005411E5">
        <w:rPr>
          <w:rFonts w:cs="Times New Roman"/>
          <w:szCs w:val="24"/>
        </w:rPr>
        <w:t xml:space="preserve">lacking ‘access to the US cotton-cloth market’ (108) and </w:t>
      </w:r>
      <w:r w:rsidR="001B6BB0">
        <w:rPr>
          <w:rFonts w:cs="Times New Roman"/>
          <w:szCs w:val="24"/>
        </w:rPr>
        <w:t>longing</w:t>
      </w:r>
      <w:r w:rsidR="005411E5">
        <w:rPr>
          <w:rFonts w:cs="Times New Roman"/>
          <w:szCs w:val="24"/>
        </w:rPr>
        <w:t xml:space="preserve"> for the </w:t>
      </w:r>
      <w:r w:rsidR="001B6BB0">
        <w:rPr>
          <w:rFonts w:cs="Times New Roman"/>
          <w:szCs w:val="24"/>
        </w:rPr>
        <w:t xml:space="preserve">repeal of the </w:t>
      </w:r>
      <w:r w:rsidR="005411E5">
        <w:rPr>
          <w:rFonts w:cs="Times New Roman"/>
          <w:szCs w:val="24"/>
        </w:rPr>
        <w:t xml:space="preserve">Orders in Council (trade restrictions imposed during the Napoleonic Wars) to ensure </w:t>
      </w:r>
      <w:r w:rsidR="001B6BB0">
        <w:rPr>
          <w:rFonts w:cs="Times New Roman"/>
          <w:szCs w:val="24"/>
        </w:rPr>
        <w:t xml:space="preserve">that </w:t>
      </w:r>
      <w:r w:rsidR="005411E5">
        <w:rPr>
          <w:rFonts w:cs="Times New Roman"/>
          <w:szCs w:val="24"/>
        </w:rPr>
        <w:t xml:space="preserve">his ‘cotton cloth sales will bring enough profit to feed the impoverished workers of the region’ (112). Yet Moore is the manager of a </w:t>
      </w:r>
      <w:r w:rsidR="005411E5" w:rsidRPr="00DD5237">
        <w:rPr>
          <w:rFonts w:cs="Times New Roman"/>
          <w:i/>
          <w:szCs w:val="24"/>
        </w:rPr>
        <w:t>woollen</w:t>
      </w:r>
      <w:r w:rsidR="00DD5237">
        <w:rPr>
          <w:rFonts w:cs="Times New Roman"/>
          <w:szCs w:val="24"/>
        </w:rPr>
        <w:t xml:space="preserve"> </w:t>
      </w:r>
      <w:r w:rsidR="001B6BB0">
        <w:rPr>
          <w:rFonts w:cs="Times New Roman"/>
          <w:szCs w:val="24"/>
        </w:rPr>
        <w:t>mill</w:t>
      </w:r>
      <w:r w:rsidR="00FE7B65">
        <w:rPr>
          <w:rFonts w:cs="Times New Roman"/>
          <w:szCs w:val="24"/>
        </w:rPr>
        <w:t>,</w:t>
      </w:r>
      <w:r w:rsidR="001B6BB0">
        <w:rPr>
          <w:rFonts w:cs="Times New Roman"/>
          <w:szCs w:val="24"/>
        </w:rPr>
        <w:t xml:space="preserve"> </w:t>
      </w:r>
      <w:r w:rsidR="001E3DBB">
        <w:rPr>
          <w:rFonts w:cs="Times New Roman"/>
          <w:szCs w:val="24"/>
        </w:rPr>
        <w:t>a representation</w:t>
      </w:r>
      <w:r w:rsidR="00FE7B65">
        <w:rPr>
          <w:rFonts w:cs="Times New Roman"/>
          <w:szCs w:val="24"/>
        </w:rPr>
        <w:t xml:space="preserve"> one would expect from</w:t>
      </w:r>
      <w:r w:rsidR="005411E5">
        <w:rPr>
          <w:rFonts w:cs="Times New Roman"/>
          <w:szCs w:val="24"/>
        </w:rPr>
        <w:t xml:space="preserve"> Brontë</w:t>
      </w:r>
      <w:r w:rsidR="001E3DBB">
        <w:rPr>
          <w:rFonts w:cs="Times New Roman"/>
          <w:szCs w:val="24"/>
        </w:rPr>
        <w:t>,</w:t>
      </w:r>
      <w:r w:rsidR="005411E5">
        <w:rPr>
          <w:rFonts w:cs="Times New Roman"/>
          <w:szCs w:val="24"/>
        </w:rPr>
        <w:t xml:space="preserve"> living </w:t>
      </w:r>
      <w:r w:rsidR="00FE7B65">
        <w:rPr>
          <w:rFonts w:cs="Times New Roman"/>
          <w:szCs w:val="24"/>
        </w:rPr>
        <w:t xml:space="preserve">as she did </w:t>
      </w:r>
      <w:r w:rsidR="005411E5">
        <w:rPr>
          <w:rFonts w:cs="Times New Roman"/>
          <w:szCs w:val="24"/>
        </w:rPr>
        <w:t xml:space="preserve">in </w:t>
      </w:r>
      <w:r w:rsidR="00FE7B65">
        <w:rPr>
          <w:rFonts w:cs="Times New Roman"/>
          <w:szCs w:val="24"/>
        </w:rPr>
        <w:t>the centre of Yorkshire’s wool producing region. T</w:t>
      </w:r>
      <w:r w:rsidR="005411E5">
        <w:rPr>
          <w:rFonts w:cs="Times New Roman"/>
          <w:szCs w:val="24"/>
        </w:rPr>
        <w:t xml:space="preserve">he Yorkshire Luddites, who play a prominent role in the novel, </w:t>
      </w:r>
      <w:r w:rsidR="00BE25AA">
        <w:rPr>
          <w:rFonts w:cs="Times New Roman"/>
          <w:szCs w:val="24"/>
        </w:rPr>
        <w:t>destroy</w:t>
      </w:r>
      <w:r w:rsidR="00FE7B65">
        <w:rPr>
          <w:rFonts w:cs="Times New Roman"/>
          <w:szCs w:val="24"/>
        </w:rPr>
        <w:t>ed</w:t>
      </w:r>
      <w:r w:rsidR="005411E5">
        <w:rPr>
          <w:rFonts w:cs="Times New Roman"/>
          <w:szCs w:val="24"/>
        </w:rPr>
        <w:t xml:space="preserve"> </w:t>
      </w:r>
      <w:r w:rsidR="00C8554A">
        <w:rPr>
          <w:rFonts w:cs="Times New Roman"/>
          <w:szCs w:val="24"/>
        </w:rPr>
        <w:t xml:space="preserve">the </w:t>
      </w:r>
      <w:r w:rsidR="001B6BB0">
        <w:rPr>
          <w:rFonts w:cs="Times New Roman"/>
          <w:szCs w:val="24"/>
        </w:rPr>
        <w:t>power looms</w:t>
      </w:r>
      <w:r w:rsidR="00C8554A">
        <w:rPr>
          <w:rFonts w:cs="Times New Roman"/>
          <w:szCs w:val="24"/>
        </w:rPr>
        <w:t xml:space="preserve"> that were replacing them</w:t>
      </w:r>
      <w:r w:rsidR="00BE25AA">
        <w:rPr>
          <w:rFonts w:cs="Times New Roman"/>
          <w:szCs w:val="24"/>
        </w:rPr>
        <w:t xml:space="preserve"> in the </w:t>
      </w:r>
      <w:r w:rsidR="00FE7B65">
        <w:rPr>
          <w:rFonts w:cs="Times New Roman"/>
          <w:szCs w:val="24"/>
        </w:rPr>
        <w:t xml:space="preserve">region’s </w:t>
      </w:r>
      <w:r w:rsidR="004F415D">
        <w:rPr>
          <w:rFonts w:cs="Times New Roman"/>
          <w:szCs w:val="24"/>
        </w:rPr>
        <w:t xml:space="preserve">woollen </w:t>
      </w:r>
      <w:r w:rsidR="00BE25AA">
        <w:rPr>
          <w:rFonts w:cs="Times New Roman"/>
          <w:szCs w:val="24"/>
        </w:rPr>
        <w:t>mills</w:t>
      </w:r>
      <w:r w:rsidR="005411E5">
        <w:rPr>
          <w:rFonts w:cs="Times New Roman"/>
          <w:szCs w:val="24"/>
        </w:rPr>
        <w:t xml:space="preserve">. </w:t>
      </w:r>
      <w:r w:rsidR="00025322">
        <w:rPr>
          <w:rFonts w:cs="Times New Roman"/>
          <w:szCs w:val="24"/>
        </w:rPr>
        <w:t xml:space="preserve">Because </w:t>
      </w:r>
      <w:r w:rsidR="005411E5">
        <w:rPr>
          <w:rFonts w:cs="Times New Roman"/>
          <w:szCs w:val="24"/>
        </w:rPr>
        <w:t>Çelikkol reads ‘cotton’ when</w:t>
      </w:r>
      <w:r w:rsidR="00DD5237">
        <w:rPr>
          <w:rFonts w:cs="Times New Roman"/>
          <w:szCs w:val="24"/>
        </w:rPr>
        <w:t xml:space="preserve"> Br</w:t>
      </w:r>
      <w:r w:rsidR="00025322">
        <w:rPr>
          <w:rFonts w:cs="Times New Roman"/>
          <w:szCs w:val="24"/>
        </w:rPr>
        <w:t>ontë writes ‘wool’, the</w:t>
      </w:r>
      <w:r w:rsidR="005411E5">
        <w:rPr>
          <w:rFonts w:cs="Times New Roman"/>
          <w:szCs w:val="24"/>
        </w:rPr>
        <w:t xml:space="preserve"> chapter’s argument </w:t>
      </w:r>
      <w:r w:rsidR="00025322">
        <w:rPr>
          <w:rFonts w:cs="Times New Roman"/>
          <w:szCs w:val="24"/>
        </w:rPr>
        <w:t xml:space="preserve">is shifted </w:t>
      </w:r>
      <w:r w:rsidR="005411E5">
        <w:rPr>
          <w:rFonts w:cs="Times New Roman"/>
          <w:szCs w:val="24"/>
        </w:rPr>
        <w:t>onto tenuous ground</w:t>
      </w:r>
      <w:r w:rsidR="00AA461A">
        <w:rPr>
          <w:rFonts w:cs="Times New Roman"/>
          <w:szCs w:val="24"/>
        </w:rPr>
        <w:t xml:space="preserve"> and </w:t>
      </w:r>
      <w:r w:rsidR="00AA461A">
        <w:rPr>
          <w:rFonts w:cs="Times New Roman"/>
          <w:i/>
          <w:szCs w:val="24"/>
        </w:rPr>
        <w:t>Shirley</w:t>
      </w:r>
      <w:r w:rsidR="00AA461A">
        <w:rPr>
          <w:rFonts w:cs="Times New Roman"/>
          <w:szCs w:val="24"/>
        </w:rPr>
        <w:t xml:space="preserve">’s locale, which is </w:t>
      </w:r>
      <w:r w:rsidR="00FE7B65">
        <w:rPr>
          <w:rFonts w:cs="Times New Roman"/>
          <w:szCs w:val="24"/>
        </w:rPr>
        <w:t xml:space="preserve">so </w:t>
      </w:r>
      <w:r w:rsidR="00C8554A">
        <w:rPr>
          <w:rFonts w:cs="Times New Roman"/>
          <w:szCs w:val="24"/>
        </w:rPr>
        <w:t>thoroughly Yorkshire</w:t>
      </w:r>
      <w:r w:rsidR="00D24613">
        <w:rPr>
          <w:rFonts w:cs="Times New Roman"/>
          <w:szCs w:val="24"/>
        </w:rPr>
        <w:t>, odd</w:t>
      </w:r>
      <w:r w:rsidR="006546F5">
        <w:rPr>
          <w:rFonts w:cs="Times New Roman"/>
          <w:szCs w:val="24"/>
        </w:rPr>
        <w:t xml:space="preserve">ly </w:t>
      </w:r>
      <w:r w:rsidR="00BE25AA">
        <w:rPr>
          <w:rFonts w:cs="Times New Roman"/>
          <w:szCs w:val="24"/>
        </w:rPr>
        <w:t>comes to resemble</w:t>
      </w:r>
      <w:r w:rsidR="006546F5">
        <w:rPr>
          <w:rFonts w:cs="Times New Roman"/>
          <w:szCs w:val="24"/>
        </w:rPr>
        <w:t xml:space="preserve"> </w:t>
      </w:r>
      <w:r w:rsidR="00BE25AA">
        <w:rPr>
          <w:rFonts w:cs="Times New Roman"/>
          <w:szCs w:val="24"/>
        </w:rPr>
        <w:t xml:space="preserve">its </w:t>
      </w:r>
      <w:r w:rsidR="006546F5">
        <w:rPr>
          <w:rFonts w:cs="Times New Roman"/>
          <w:szCs w:val="24"/>
        </w:rPr>
        <w:t xml:space="preserve">neighbouring </w:t>
      </w:r>
      <w:r w:rsidR="00BE25AA">
        <w:rPr>
          <w:rFonts w:cs="Times New Roman"/>
          <w:szCs w:val="24"/>
        </w:rPr>
        <w:t>county</w:t>
      </w:r>
      <w:r w:rsidR="001E3DBB">
        <w:rPr>
          <w:rFonts w:cs="Times New Roman"/>
          <w:szCs w:val="24"/>
        </w:rPr>
        <w:t xml:space="preserve"> of </w:t>
      </w:r>
      <w:r w:rsidR="006546F5">
        <w:rPr>
          <w:rFonts w:cs="Times New Roman"/>
          <w:szCs w:val="24"/>
        </w:rPr>
        <w:t>Lancashire</w:t>
      </w:r>
      <w:r w:rsidR="00D24613">
        <w:rPr>
          <w:rFonts w:cs="Times New Roman"/>
          <w:szCs w:val="24"/>
        </w:rPr>
        <w:t>, where the</w:t>
      </w:r>
      <w:r w:rsidR="00BE25AA">
        <w:rPr>
          <w:rFonts w:cs="Times New Roman"/>
          <w:szCs w:val="24"/>
        </w:rPr>
        <w:t xml:space="preserve"> conditions </w:t>
      </w:r>
      <w:r w:rsidR="00D24613">
        <w:rPr>
          <w:rFonts w:cs="Times New Roman"/>
          <w:szCs w:val="24"/>
        </w:rPr>
        <w:t xml:space="preserve">were perfect </w:t>
      </w:r>
      <w:r w:rsidR="00BE25AA">
        <w:rPr>
          <w:rFonts w:cs="Times New Roman"/>
          <w:szCs w:val="24"/>
        </w:rPr>
        <w:t>for cotton</w:t>
      </w:r>
      <w:r w:rsidR="00DD5593">
        <w:rPr>
          <w:rFonts w:cs="Times New Roman"/>
          <w:szCs w:val="24"/>
        </w:rPr>
        <w:t xml:space="preserve"> manufacture</w:t>
      </w:r>
      <w:r w:rsidR="005411E5">
        <w:rPr>
          <w:rFonts w:cs="Times New Roman"/>
          <w:szCs w:val="24"/>
        </w:rPr>
        <w:t>.</w:t>
      </w:r>
    </w:p>
    <w:p w:rsidR="005411E5" w:rsidRDefault="003B1E40" w:rsidP="005411E5">
      <w:pPr>
        <w:spacing w:line="360" w:lineRule="auto"/>
        <w:ind w:firstLine="720"/>
        <w:jc w:val="both"/>
        <w:rPr>
          <w:rFonts w:cs="Times New Roman"/>
          <w:szCs w:val="24"/>
        </w:rPr>
      </w:pPr>
      <w:r>
        <w:rPr>
          <w:rFonts w:cs="Times New Roman"/>
          <w:szCs w:val="24"/>
        </w:rPr>
        <w:t xml:space="preserve">A similar </w:t>
      </w:r>
      <w:r w:rsidR="006546F5">
        <w:rPr>
          <w:rFonts w:cs="Times New Roman"/>
          <w:szCs w:val="24"/>
        </w:rPr>
        <w:t>level of historical inaccuracy</w:t>
      </w:r>
      <w:r>
        <w:rPr>
          <w:rFonts w:cs="Times New Roman"/>
          <w:szCs w:val="24"/>
        </w:rPr>
        <w:t xml:space="preserve"> </w:t>
      </w:r>
      <w:r w:rsidR="006546F5">
        <w:rPr>
          <w:rFonts w:cs="Times New Roman"/>
          <w:szCs w:val="24"/>
        </w:rPr>
        <w:t>informs</w:t>
      </w:r>
      <w:r>
        <w:rPr>
          <w:rFonts w:cs="Times New Roman"/>
          <w:szCs w:val="24"/>
        </w:rPr>
        <w:t xml:space="preserve"> </w:t>
      </w:r>
      <w:r w:rsidR="00DD5237">
        <w:rPr>
          <w:rFonts w:cs="Times New Roman"/>
          <w:szCs w:val="24"/>
        </w:rPr>
        <w:t>Mario Ortiz Robles</w:t>
      </w:r>
      <w:r>
        <w:rPr>
          <w:rFonts w:cs="Times New Roman"/>
          <w:szCs w:val="24"/>
        </w:rPr>
        <w:t xml:space="preserve">’s reading of </w:t>
      </w:r>
      <w:r>
        <w:rPr>
          <w:rFonts w:cs="Times New Roman"/>
          <w:i/>
          <w:szCs w:val="24"/>
        </w:rPr>
        <w:t>Jane Eyre</w:t>
      </w:r>
      <w:r w:rsidR="009F203C">
        <w:rPr>
          <w:rFonts w:cs="Times New Roman"/>
          <w:szCs w:val="24"/>
        </w:rPr>
        <w:t>, although unlike Çelikkol he eschews a historicist approach</w:t>
      </w:r>
      <w:r>
        <w:rPr>
          <w:rFonts w:cs="Times New Roman"/>
          <w:szCs w:val="24"/>
        </w:rPr>
        <w:t xml:space="preserve">. </w:t>
      </w:r>
      <w:r w:rsidR="00DD5237">
        <w:rPr>
          <w:rFonts w:cs="Times New Roman"/>
          <w:i/>
          <w:szCs w:val="24"/>
        </w:rPr>
        <w:t>The Novel as Event</w:t>
      </w:r>
      <w:r w:rsidR="00DD5237">
        <w:rPr>
          <w:rFonts w:cs="Times New Roman"/>
          <w:szCs w:val="24"/>
        </w:rPr>
        <w:t xml:space="preserve"> (2010)</w:t>
      </w:r>
      <w:r w:rsidR="009F203C">
        <w:rPr>
          <w:rFonts w:cs="Times New Roman"/>
          <w:szCs w:val="24"/>
        </w:rPr>
        <w:t>,</w:t>
      </w:r>
      <w:r w:rsidR="005411E5">
        <w:rPr>
          <w:rFonts w:cs="Times New Roman"/>
          <w:szCs w:val="24"/>
        </w:rPr>
        <w:t xml:space="preserve"> </w:t>
      </w:r>
      <w:r w:rsidR="006546F5">
        <w:rPr>
          <w:rFonts w:cs="Times New Roman"/>
          <w:szCs w:val="24"/>
        </w:rPr>
        <w:t xml:space="preserve">an </w:t>
      </w:r>
      <w:r w:rsidR="009F203C">
        <w:rPr>
          <w:rFonts w:cs="Times New Roman"/>
          <w:szCs w:val="24"/>
        </w:rPr>
        <w:t>interesting and thought-provoking book,</w:t>
      </w:r>
      <w:r w:rsidR="009F203C" w:rsidRPr="00E42F52">
        <w:rPr>
          <w:rFonts w:cs="Times New Roman"/>
          <w:i/>
          <w:szCs w:val="24"/>
        </w:rPr>
        <w:t xml:space="preserve"> </w:t>
      </w:r>
      <w:r w:rsidR="009F203C">
        <w:rPr>
          <w:rFonts w:cs="Times New Roman"/>
          <w:szCs w:val="24"/>
        </w:rPr>
        <w:t xml:space="preserve">actually </w:t>
      </w:r>
      <w:r w:rsidR="005411E5">
        <w:rPr>
          <w:rFonts w:cs="Times New Roman"/>
          <w:szCs w:val="24"/>
        </w:rPr>
        <w:t xml:space="preserve">sets out to expose the limitations of cultural and historicist approaches to Victorian novels. </w:t>
      </w:r>
      <w:r>
        <w:rPr>
          <w:rFonts w:cs="Times New Roman"/>
          <w:szCs w:val="24"/>
        </w:rPr>
        <w:t xml:space="preserve">As </w:t>
      </w:r>
      <w:r w:rsidR="00FE7B65">
        <w:rPr>
          <w:rFonts w:cs="Times New Roman"/>
          <w:szCs w:val="24"/>
        </w:rPr>
        <w:t xml:space="preserve">Robles </w:t>
      </w:r>
      <w:r w:rsidR="005411E5">
        <w:rPr>
          <w:rFonts w:cs="Times New Roman"/>
          <w:szCs w:val="24"/>
        </w:rPr>
        <w:t>rightly points out</w:t>
      </w:r>
      <w:r>
        <w:rPr>
          <w:rFonts w:cs="Times New Roman"/>
          <w:szCs w:val="24"/>
        </w:rPr>
        <w:t>,</w:t>
      </w:r>
      <w:r w:rsidR="005411E5">
        <w:rPr>
          <w:rFonts w:cs="Times New Roman"/>
          <w:szCs w:val="24"/>
        </w:rPr>
        <w:t xml:space="preserve"> materialist approaches </w:t>
      </w:r>
      <w:r w:rsidR="009F203C">
        <w:rPr>
          <w:rFonts w:cs="Times New Roman"/>
          <w:szCs w:val="24"/>
        </w:rPr>
        <w:t>often</w:t>
      </w:r>
      <w:r w:rsidR="005411E5">
        <w:rPr>
          <w:rFonts w:cs="Times New Roman"/>
          <w:szCs w:val="24"/>
        </w:rPr>
        <w:t xml:space="preserve"> focus on representations of </w:t>
      </w:r>
      <w:r>
        <w:rPr>
          <w:rFonts w:cs="Times New Roman"/>
          <w:szCs w:val="24"/>
        </w:rPr>
        <w:t>objects</w:t>
      </w:r>
      <w:r w:rsidR="00DD5237">
        <w:rPr>
          <w:rFonts w:cs="Times New Roman"/>
          <w:szCs w:val="24"/>
        </w:rPr>
        <w:t xml:space="preserve"> </w:t>
      </w:r>
      <w:r>
        <w:rPr>
          <w:rFonts w:cs="Times New Roman"/>
          <w:szCs w:val="24"/>
        </w:rPr>
        <w:t>at the expense of</w:t>
      </w:r>
      <w:r w:rsidR="005411E5">
        <w:rPr>
          <w:rFonts w:cs="Times New Roman"/>
          <w:szCs w:val="24"/>
        </w:rPr>
        <w:t xml:space="preserve"> the medium in which readers encounter those objects: that is, language. Robles recommends a critical engagement with the performativity of novels, for ‘it is the performative force of language […] to which we must attend if we wish to understand the historicity of the novel’ (12). His chapter on </w:t>
      </w:r>
      <w:r w:rsidR="005411E5">
        <w:rPr>
          <w:rFonts w:cs="Times New Roman"/>
          <w:i/>
          <w:szCs w:val="24"/>
        </w:rPr>
        <w:t>Jane Eyre</w:t>
      </w:r>
      <w:r w:rsidR="005411E5">
        <w:rPr>
          <w:rFonts w:cs="Times New Roman"/>
          <w:szCs w:val="24"/>
        </w:rPr>
        <w:t>,</w:t>
      </w:r>
      <w:r w:rsidR="005411E5">
        <w:rPr>
          <w:rFonts w:cs="Times New Roman"/>
          <w:i/>
          <w:szCs w:val="24"/>
        </w:rPr>
        <w:t xml:space="preserve"> </w:t>
      </w:r>
      <w:r w:rsidR="005411E5">
        <w:rPr>
          <w:rFonts w:cs="Times New Roman"/>
          <w:szCs w:val="24"/>
        </w:rPr>
        <w:t>‘Plott</w:t>
      </w:r>
      <w:r w:rsidR="00DD5237">
        <w:rPr>
          <w:rFonts w:cs="Times New Roman"/>
          <w:szCs w:val="24"/>
        </w:rPr>
        <w:t>ing Jane’, opens with a promise</w:t>
      </w:r>
      <w:r w:rsidR="005411E5">
        <w:rPr>
          <w:rFonts w:cs="Times New Roman"/>
          <w:szCs w:val="24"/>
        </w:rPr>
        <w:t xml:space="preserve"> to show how the novel’s speech-acts make it </w:t>
      </w:r>
      <w:r w:rsidR="005411E5">
        <w:rPr>
          <w:rFonts w:cs="Times New Roman"/>
          <w:i/>
          <w:szCs w:val="24"/>
        </w:rPr>
        <w:t>do</w:t>
      </w:r>
      <w:r w:rsidR="005411E5">
        <w:rPr>
          <w:rFonts w:cs="Times New Roman"/>
          <w:szCs w:val="24"/>
        </w:rPr>
        <w:t xml:space="preserve"> things in the world</w:t>
      </w:r>
      <w:r w:rsidR="00FE7B65">
        <w:rPr>
          <w:rFonts w:cs="Times New Roman"/>
          <w:szCs w:val="24"/>
        </w:rPr>
        <w:t xml:space="preserve"> and</w:t>
      </w:r>
      <w:r w:rsidR="005411E5">
        <w:rPr>
          <w:rFonts w:cs="Times New Roman"/>
          <w:szCs w:val="24"/>
        </w:rPr>
        <w:t xml:space="preserve"> </w:t>
      </w:r>
      <w:r w:rsidR="00FE7B65">
        <w:rPr>
          <w:rFonts w:cs="Times New Roman"/>
          <w:szCs w:val="24"/>
        </w:rPr>
        <w:t>h</w:t>
      </w:r>
      <w:r w:rsidR="005411E5">
        <w:rPr>
          <w:rFonts w:cs="Times New Roman"/>
          <w:szCs w:val="24"/>
        </w:rPr>
        <w:t xml:space="preserve">e gives as example the narrative </w:t>
      </w:r>
      <w:r w:rsidR="00FE7B65">
        <w:rPr>
          <w:rFonts w:cs="Times New Roman"/>
          <w:szCs w:val="24"/>
        </w:rPr>
        <w:t>being</w:t>
      </w:r>
      <w:r w:rsidR="005411E5">
        <w:rPr>
          <w:rFonts w:cs="Times New Roman"/>
          <w:szCs w:val="24"/>
        </w:rPr>
        <w:t xml:space="preserve"> a performance of ‘its own autobiography’: </w:t>
      </w:r>
      <w:r w:rsidR="005411E5">
        <w:rPr>
          <w:rFonts w:cs="Times New Roman"/>
          <w:i/>
          <w:szCs w:val="24"/>
        </w:rPr>
        <w:t>Jane Eyre</w:t>
      </w:r>
      <w:r w:rsidR="005411E5">
        <w:rPr>
          <w:rFonts w:cs="Times New Roman"/>
          <w:szCs w:val="24"/>
        </w:rPr>
        <w:t xml:space="preserve"> ‘produces the reality it describes’ (40). Robles focuses on the marriage plot, where the central speech-act of the marriage ceremony</w:t>
      </w:r>
      <w:r w:rsidR="00FE7B65">
        <w:rPr>
          <w:rFonts w:cs="Times New Roman"/>
          <w:szCs w:val="24"/>
        </w:rPr>
        <w:t>,</w:t>
      </w:r>
      <w:r w:rsidR="005411E5">
        <w:rPr>
          <w:rFonts w:cs="Times New Roman"/>
          <w:szCs w:val="24"/>
        </w:rPr>
        <w:t xml:space="preserve"> Jane and Rochester</w:t>
      </w:r>
      <w:r w:rsidR="00FE7B65">
        <w:rPr>
          <w:rFonts w:cs="Times New Roman"/>
          <w:szCs w:val="24"/>
        </w:rPr>
        <w:t>’s</w:t>
      </w:r>
      <w:r w:rsidR="005411E5">
        <w:rPr>
          <w:rFonts w:cs="Times New Roman"/>
          <w:szCs w:val="24"/>
        </w:rPr>
        <w:t xml:space="preserve"> utterance of ‘I do’, is not actually represented</w:t>
      </w:r>
      <w:r w:rsidR="00DD5237">
        <w:rPr>
          <w:rFonts w:cs="Times New Roman"/>
          <w:szCs w:val="24"/>
        </w:rPr>
        <w:t xml:space="preserve"> by the narrator</w:t>
      </w:r>
      <w:r w:rsidR="005411E5">
        <w:rPr>
          <w:rFonts w:cs="Times New Roman"/>
          <w:szCs w:val="24"/>
        </w:rPr>
        <w:t xml:space="preserve">. Instead, </w:t>
      </w:r>
      <w:r w:rsidR="001E3DBB">
        <w:rPr>
          <w:rFonts w:cs="Times New Roman"/>
          <w:szCs w:val="24"/>
        </w:rPr>
        <w:t xml:space="preserve">he argues </w:t>
      </w:r>
      <w:r w:rsidR="005411E5">
        <w:rPr>
          <w:rFonts w:cs="Times New Roman"/>
          <w:szCs w:val="24"/>
        </w:rPr>
        <w:t xml:space="preserve">it is displaced elsewhere </w:t>
      </w:r>
      <w:r w:rsidR="00BE25AA">
        <w:rPr>
          <w:rFonts w:cs="Times New Roman"/>
          <w:szCs w:val="24"/>
        </w:rPr>
        <w:t>in the narrative in those moments when</w:t>
      </w:r>
      <w:r w:rsidR="005411E5">
        <w:rPr>
          <w:rFonts w:cs="Times New Roman"/>
          <w:szCs w:val="24"/>
        </w:rPr>
        <w:t xml:space="preserve"> Jane says </w:t>
      </w:r>
      <w:r w:rsidR="00F27A93">
        <w:rPr>
          <w:rFonts w:cs="Times New Roman"/>
          <w:szCs w:val="24"/>
        </w:rPr>
        <w:t xml:space="preserve">repeatedly </w:t>
      </w:r>
      <w:r w:rsidR="005411E5">
        <w:rPr>
          <w:rFonts w:cs="Times New Roman"/>
          <w:szCs w:val="24"/>
        </w:rPr>
        <w:t xml:space="preserve">‘I do’ to Rochester. Robles sees this as an echo of the marriage ceremony that is not represented (45). Yet this argument crumbles when we examine the novel’s historical context, for neither Jane nor </w:t>
      </w:r>
      <w:r w:rsidR="005411E5">
        <w:rPr>
          <w:rFonts w:cs="Times New Roman"/>
          <w:szCs w:val="24"/>
        </w:rPr>
        <w:lastRenderedPageBreak/>
        <w:t>Rochester</w:t>
      </w:r>
      <w:r w:rsidR="00B30A4B">
        <w:rPr>
          <w:rFonts w:cs="Times New Roman"/>
          <w:szCs w:val="24"/>
        </w:rPr>
        <w:t xml:space="preserve"> </w:t>
      </w:r>
      <w:r w:rsidR="005411E5">
        <w:rPr>
          <w:rFonts w:cs="Times New Roman"/>
          <w:szCs w:val="24"/>
        </w:rPr>
        <w:t>would have said ‘I do’ during the ma</w:t>
      </w:r>
      <w:r w:rsidR="00DD5237">
        <w:rPr>
          <w:rFonts w:cs="Times New Roman"/>
          <w:szCs w:val="24"/>
        </w:rPr>
        <w:t>rriage ceremony. In nineteenth-c</w:t>
      </w:r>
      <w:r w:rsidR="005411E5">
        <w:rPr>
          <w:rFonts w:cs="Times New Roman"/>
          <w:szCs w:val="24"/>
        </w:rPr>
        <w:t>e</w:t>
      </w:r>
      <w:r w:rsidR="00DD5237">
        <w:rPr>
          <w:rFonts w:cs="Times New Roman"/>
          <w:szCs w:val="24"/>
        </w:rPr>
        <w:t>n</w:t>
      </w:r>
      <w:r w:rsidR="005411E5">
        <w:rPr>
          <w:rFonts w:cs="Times New Roman"/>
          <w:szCs w:val="24"/>
        </w:rPr>
        <w:t>tury Britain,  marriage</w:t>
      </w:r>
      <w:r w:rsidR="00DD5593">
        <w:rPr>
          <w:rFonts w:cs="Times New Roman"/>
          <w:szCs w:val="24"/>
        </w:rPr>
        <w:t>s</w:t>
      </w:r>
      <w:r w:rsidR="005411E5">
        <w:rPr>
          <w:rFonts w:cs="Times New Roman"/>
          <w:szCs w:val="24"/>
        </w:rPr>
        <w:t xml:space="preserve"> in the Church of England demanded the utterance of the words, ‘I will’. These words hold a suggestion of future promise, unlike the present-tense assertion of the American convention of ‘I do’ to perform the wedding ceremony. Thus, Jane’s utterance of ‘I do’ as she asserts </w:t>
      </w:r>
      <w:r w:rsidR="00DD5237">
        <w:rPr>
          <w:rFonts w:cs="Times New Roman"/>
          <w:szCs w:val="24"/>
        </w:rPr>
        <w:t>herself with Rochester cannot</w:t>
      </w:r>
      <w:r w:rsidR="005411E5">
        <w:rPr>
          <w:rFonts w:cs="Times New Roman"/>
          <w:szCs w:val="24"/>
        </w:rPr>
        <w:t xml:space="preserve"> easily be read as an echo of </w:t>
      </w:r>
      <w:r w:rsidR="004247AB">
        <w:rPr>
          <w:rFonts w:cs="Times New Roman"/>
          <w:szCs w:val="24"/>
        </w:rPr>
        <w:t>the</w:t>
      </w:r>
      <w:r w:rsidR="005411E5">
        <w:rPr>
          <w:rFonts w:cs="Times New Roman"/>
          <w:szCs w:val="24"/>
        </w:rPr>
        <w:t xml:space="preserve"> </w:t>
      </w:r>
      <w:r w:rsidR="00DD5593">
        <w:rPr>
          <w:rFonts w:cs="Times New Roman"/>
          <w:szCs w:val="24"/>
        </w:rPr>
        <w:t xml:space="preserve">unperformed </w:t>
      </w:r>
      <w:r w:rsidR="005411E5">
        <w:rPr>
          <w:rFonts w:cs="Times New Roman"/>
          <w:szCs w:val="24"/>
        </w:rPr>
        <w:t xml:space="preserve">marriage </w:t>
      </w:r>
      <w:r w:rsidR="004247AB">
        <w:rPr>
          <w:rFonts w:cs="Times New Roman"/>
          <w:szCs w:val="24"/>
        </w:rPr>
        <w:t>ceremony</w:t>
      </w:r>
      <w:r w:rsidR="005411E5">
        <w:rPr>
          <w:rFonts w:cs="Times New Roman"/>
          <w:szCs w:val="24"/>
        </w:rPr>
        <w:t xml:space="preserve">. Robles needed to find instances of the heroine saying ‘I will’ to see if these </w:t>
      </w:r>
      <w:r w:rsidR="00D24613">
        <w:rPr>
          <w:rFonts w:cs="Times New Roman"/>
          <w:szCs w:val="24"/>
        </w:rPr>
        <w:t xml:space="preserve">work </w:t>
      </w:r>
      <w:r w:rsidR="005411E5">
        <w:rPr>
          <w:rFonts w:cs="Times New Roman"/>
          <w:szCs w:val="24"/>
        </w:rPr>
        <w:t>as displacements of her marriage vow.</w:t>
      </w:r>
    </w:p>
    <w:p w:rsidR="005411E5" w:rsidRDefault="005411E5" w:rsidP="005411E5">
      <w:pPr>
        <w:spacing w:line="360" w:lineRule="auto"/>
        <w:jc w:val="both"/>
        <w:rPr>
          <w:rFonts w:cs="Times New Roman"/>
          <w:szCs w:val="24"/>
        </w:rPr>
      </w:pPr>
      <w:r>
        <w:rPr>
          <w:rFonts w:cs="Times New Roman"/>
          <w:szCs w:val="24"/>
        </w:rPr>
        <w:tab/>
        <w:t xml:space="preserve">Does it matter that Jane and Rochester say ‘I do’ in Robles’s book, while they (and their creator Charlotte Brontë when she married in 1854) would have actually said ‘I will’? Does it matter that Çelikkol, needing a link to US cotton markets for her argument about global trade, changes the cloth created in Robert Moore’s mill from wool to cotton? I think that it does matter, if only for the reason that such errors </w:t>
      </w:r>
      <w:r w:rsidR="00C4078B">
        <w:rPr>
          <w:rFonts w:cs="Times New Roman"/>
          <w:szCs w:val="24"/>
        </w:rPr>
        <w:t xml:space="preserve">fundamentally </w:t>
      </w:r>
      <w:r>
        <w:rPr>
          <w:rFonts w:cs="Times New Roman"/>
          <w:szCs w:val="24"/>
        </w:rPr>
        <w:t xml:space="preserve">undermine the </w:t>
      </w:r>
      <w:r w:rsidR="00C4078B">
        <w:rPr>
          <w:rFonts w:cs="Times New Roman"/>
          <w:szCs w:val="24"/>
        </w:rPr>
        <w:t xml:space="preserve">central </w:t>
      </w:r>
      <w:r>
        <w:rPr>
          <w:rFonts w:cs="Times New Roman"/>
          <w:szCs w:val="24"/>
        </w:rPr>
        <w:t>arguments of both authors. If we ignore the details of history and locale which Charlotte Brontë threads through her novels, we a</w:t>
      </w:r>
      <w:r w:rsidR="004247AB">
        <w:rPr>
          <w:rFonts w:cs="Times New Roman"/>
          <w:szCs w:val="24"/>
        </w:rPr>
        <w:t>re in danger of wasting time o</w:t>
      </w:r>
      <w:r>
        <w:rPr>
          <w:rFonts w:cs="Times New Roman"/>
          <w:szCs w:val="24"/>
        </w:rPr>
        <w:t xml:space="preserve">n </w:t>
      </w:r>
      <w:r w:rsidR="00DD5237">
        <w:rPr>
          <w:rFonts w:cs="Times New Roman"/>
          <w:szCs w:val="24"/>
        </w:rPr>
        <w:t>the assumption</w:t>
      </w:r>
      <w:r>
        <w:rPr>
          <w:rFonts w:cs="Times New Roman"/>
          <w:szCs w:val="24"/>
        </w:rPr>
        <w:t xml:space="preserve"> that our own cultural norms </w:t>
      </w:r>
      <w:r w:rsidR="00043057">
        <w:rPr>
          <w:rFonts w:cs="Times New Roman"/>
          <w:szCs w:val="24"/>
        </w:rPr>
        <w:t xml:space="preserve">and expectations </w:t>
      </w:r>
      <w:r>
        <w:rPr>
          <w:rFonts w:cs="Times New Roman"/>
          <w:szCs w:val="24"/>
        </w:rPr>
        <w:t xml:space="preserve">are universal. </w:t>
      </w:r>
    </w:p>
    <w:p w:rsidR="00F27EEC" w:rsidRDefault="00B30A4B" w:rsidP="00AC24EC">
      <w:pPr>
        <w:spacing w:line="360" w:lineRule="auto"/>
        <w:jc w:val="both"/>
        <w:rPr>
          <w:rFonts w:cs="Times New Roman"/>
          <w:szCs w:val="24"/>
        </w:rPr>
      </w:pPr>
      <w:r>
        <w:rPr>
          <w:rFonts w:cs="Times New Roman"/>
          <w:szCs w:val="24"/>
        </w:rPr>
        <w:tab/>
      </w:r>
      <w:r w:rsidR="00043057">
        <w:rPr>
          <w:rFonts w:cs="Times New Roman"/>
          <w:szCs w:val="24"/>
        </w:rPr>
        <w:t xml:space="preserve">Recent engagements with material culture are much more likely to attend to the specificity of an author’s time and place, and </w:t>
      </w:r>
      <w:r>
        <w:rPr>
          <w:rFonts w:cs="Times New Roman"/>
          <w:szCs w:val="24"/>
        </w:rPr>
        <w:t xml:space="preserve">Elaine Freedgood’s approach to </w:t>
      </w:r>
      <w:r>
        <w:rPr>
          <w:rFonts w:cs="Times New Roman"/>
          <w:i/>
          <w:szCs w:val="24"/>
        </w:rPr>
        <w:t>Jane Eyre</w:t>
      </w:r>
      <w:r>
        <w:rPr>
          <w:rFonts w:cs="Times New Roman"/>
          <w:szCs w:val="24"/>
        </w:rPr>
        <w:t xml:space="preserve"> is certainly not slipshod when it</w:t>
      </w:r>
      <w:r w:rsidR="006E5842">
        <w:rPr>
          <w:rFonts w:cs="Times New Roman"/>
          <w:szCs w:val="24"/>
        </w:rPr>
        <w:t xml:space="preserve"> comes to historical detail. Her chapter on </w:t>
      </w:r>
      <w:r w:rsidR="006E5842" w:rsidRPr="00DD5237">
        <w:rPr>
          <w:rFonts w:cs="Times New Roman"/>
          <w:szCs w:val="24"/>
        </w:rPr>
        <w:t>Brontë</w:t>
      </w:r>
      <w:r w:rsidR="006E5842">
        <w:rPr>
          <w:rFonts w:cs="Times New Roman"/>
          <w:szCs w:val="24"/>
        </w:rPr>
        <w:t>’</w:t>
      </w:r>
      <w:r w:rsidR="006E5842" w:rsidRPr="00DD5237">
        <w:rPr>
          <w:rFonts w:cs="Times New Roman"/>
          <w:szCs w:val="24"/>
        </w:rPr>
        <w:t>s</w:t>
      </w:r>
      <w:r w:rsidR="006E5842">
        <w:rPr>
          <w:rFonts w:cs="Times New Roman"/>
          <w:szCs w:val="24"/>
        </w:rPr>
        <w:t xml:space="preserve"> novel in her book </w:t>
      </w:r>
      <w:r w:rsidR="006E5842">
        <w:rPr>
          <w:rFonts w:cs="Times New Roman"/>
          <w:i/>
          <w:szCs w:val="24"/>
        </w:rPr>
        <w:t>The Ideas in Things: Fugitive Meaning in the Victorian Novel</w:t>
      </w:r>
      <w:r w:rsidR="006E5842">
        <w:rPr>
          <w:rFonts w:cs="Times New Roman"/>
          <w:szCs w:val="24"/>
        </w:rPr>
        <w:t xml:space="preserve"> (2006) focuses on how Jane’s transformation fro</w:t>
      </w:r>
      <w:r w:rsidR="001E3DBB">
        <w:rPr>
          <w:rFonts w:cs="Times New Roman"/>
          <w:szCs w:val="24"/>
        </w:rPr>
        <w:t>m a victimised slave-figure to the</w:t>
      </w:r>
      <w:r w:rsidR="006E5842">
        <w:rPr>
          <w:rFonts w:cs="Times New Roman"/>
          <w:szCs w:val="24"/>
        </w:rPr>
        <w:t xml:space="preserve"> mistress of ‘souvenirs, in the form of mahogany</w:t>
      </w:r>
      <w:r w:rsidR="003E70BF">
        <w:rPr>
          <w:rFonts w:cs="Times New Roman"/>
          <w:szCs w:val="24"/>
        </w:rPr>
        <w:t>’</w:t>
      </w:r>
      <w:r w:rsidR="006E5842">
        <w:rPr>
          <w:rFonts w:cs="Times New Roman"/>
          <w:szCs w:val="24"/>
        </w:rPr>
        <w:t xml:space="preserve"> fu</w:t>
      </w:r>
      <w:r w:rsidR="001E3DBB">
        <w:rPr>
          <w:rFonts w:cs="Times New Roman"/>
          <w:szCs w:val="24"/>
        </w:rPr>
        <w:t>rniture</w:t>
      </w:r>
      <w:r w:rsidR="003E70BF">
        <w:rPr>
          <w:rFonts w:cs="Times New Roman"/>
          <w:szCs w:val="24"/>
        </w:rPr>
        <w:t xml:space="preserve"> originating in</w:t>
      </w:r>
      <w:r w:rsidR="006E5842">
        <w:rPr>
          <w:rFonts w:cs="Times New Roman"/>
          <w:szCs w:val="24"/>
        </w:rPr>
        <w:t xml:space="preserve"> Madeira,</w:t>
      </w:r>
      <w:r w:rsidR="008250D8">
        <w:rPr>
          <w:rFonts w:cs="Times New Roman"/>
          <w:szCs w:val="24"/>
        </w:rPr>
        <w:t xml:space="preserve"> ‘naturalizes, domesticates, and internalizes the violent histories of deforestation, slavery, and the ecologically and social devastating cultivation of cash crops’</w:t>
      </w:r>
      <w:r w:rsidR="006E5842">
        <w:rPr>
          <w:rFonts w:cs="Times New Roman"/>
          <w:szCs w:val="24"/>
        </w:rPr>
        <w:t xml:space="preserve"> </w:t>
      </w:r>
      <w:r w:rsidR="008250D8">
        <w:rPr>
          <w:rFonts w:cs="Times New Roman"/>
          <w:szCs w:val="24"/>
        </w:rPr>
        <w:t>(35). Jane’s furniture, bo</w:t>
      </w:r>
      <w:r w:rsidR="006546F5">
        <w:rPr>
          <w:rFonts w:cs="Times New Roman"/>
          <w:szCs w:val="24"/>
        </w:rPr>
        <w:t>ught with her inherited fortune and</w:t>
      </w:r>
      <w:r w:rsidR="008250D8">
        <w:rPr>
          <w:rFonts w:cs="Times New Roman"/>
          <w:szCs w:val="24"/>
        </w:rPr>
        <w:t xml:space="preserve"> usually ignored by critics as </w:t>
      </w:r>
      <w:r w:rsidR="006546F5">
        <w:rPr>
          <w:rFonts w:cs="Times New Roman"/>
          <w:szCs w:val="24"/>
        </w:rPr>
        <w:t xml:space="preserve">merely </w:t>
      </w:r>
      <w:r w:rsidR="001E3DBB">
        <w:rPr>
          <w:rFonts w:cs="Times New Roman"/>
          <w:szCs w:val="24"/>
        </w:rPr>
        <w:t xml:space="preserve">realist </w:t>
      </w:r>
      <w:r w:rsidR="00D24613">
        <w:rPr>
          <w:rFonts w:cs="Times New Roman"/>
          <w:szCs w:val="24"/>
        </w:rPr>
        <w:t>background detail</w:t>
      </w:r>
      <w:r w:rsidR="008250D8">
        <w:rPr>
          <w:rFonts w:cs="Times New Roman"/>
          <w:szCs w:val="24"/>
        </w:rPr>
        <w:t xml:space="preserve">, is </w:t>
      </w:r>
      <w:r w:rsidR="003E70BF">
        <w:rPr>
          <w:rFonts w:cs="Times New Roman"/>
          <w:szCs w:val="24"/>
        </w:rPr>
        <w:t xml:space="preserve">highlighted </w:t>
      </w:r>
      <w:r w:rsidR="008250D8">
        <w:rPr>
          <w:rFonts w:cs="Times New Roman"/>
          <w:szCs w:val="24"/>
        </w:rPr>
        <w:t>by Freedgood as a ‘sign of … imperial mastery</w:t>
      </w:r>
      <w:r w:rsidR="006546F5">
        <w:rPr>
          <w:rFonts w:cs="Times New Roman"/>
          <w:szCs w:val="24"/>
        </w:rPr>
        <w:t>’ (51)</w:t>
      </w:r>
      <w:r w:rsidR="003E70BF">
        <w:rPr>
          <w:rFonts w:cs="Times New Roman"/>
          <w:szCs w:val="24"/>
        </w:rPr>
        <w:t>.</w:t>
      </w:r>
      <w:r w:rsidR="005425FA">
        <w:rPr>
          <w:rFonts w:cs="Times New Roman"/>
          <w:szCs w:val="24"/>
        </w:rPr>
        <w:t xml:space="preserve"> </w:t>
      </w:r>
      <w:r w:rsidR="003E70BF">
        <w:rPr>
          <w:rFonts w:cs="Times New Roman"/>
          <w:szCs w:val="24"/>
        </w:rPr>
        <w:t xml:space="preserve"> Her argument is that</w:t>
      </w:r>
      <w:r w:rsidR="005425FA">
        <w:rPr>
          <w:rFonts w:cs="Times New Roman"/>
          <w:szCs w:val="24"/>
        </w:rPr>
        <w:t xml:space="preserve"> ‘social relations hide in things’ (54)</w:t>
      </w:r>
      <w:r w:rsidR="003E70BF">
        <w:rPr>
          <w:rFonts w:cs="Times New Roman"/>
          <w:szCs w:val="24"/>
        </w:rPr>
        <w:t>,</w:t>
      </w:r>
      <w:r w:rsidR="005425FA">
        <w:rPr>
          <w:rFonts w:cs="Times New Roman"/>
          <w:szCs w:val="24"/>
        </w:rPr>
        <w:t xml:space="preserve"> </w:t>
      </w:r>
      <w:r w:rsidR="003E70BF">
        <w:rPr>
          <w:rFonts w:cs="Times New Roman"/>
          <w:szCs w:val="24"/>
        </w:rPr>
        <w:t>and this approach</w:t>
      </w:r>
      <w:r w:rsidR="00AC24EC">
        <w:rPr>
          <w:rFonts w:cs="Times New Roman"/>
          <w:szCs w:val="24"/>
        </w:rPr>
        <w:t xml:space="preserve"> can be </w:t>
      </w:r>
      <w:r w:rsidR="006546F5">
        <w:rPr>
          <w:rFonts w:cs="Times New Roman"/>
          <w:szCs w:val="24"/>
        </w:rPr>
        <w:t xml:space="preserve">usefully </w:t>
      </w:r>
      <w:r w:rsidR="003E70BF">
        <w:rPr>
          <w:rFonts w:cs="Times New Roman"/>
          <w:szCs w:val="24"/>
        </w:rPr>
        <w:t xml:space="preserve">considered </w:t>
      </w:r>
      <w:r w:rsidR="00AC24EC">
        <w:rPr>
          <w:rFonts w:cs="Times New Roman"/>
          <w:szCs w:val="24"/>
        </w:rPr>
        <w:t>alongside</w:t>
      </w:r>
      <w:r w:rsidR="006E5842">
        <w:rPr>
          <w:rFonts w:cs="Times New Roman"/>
          <w:szCs w:val="24"/>
        </w:rPr>
        <w:t xml:space="preserve"> </w:t>
      </w:r>
      <w:r w:rsidR="00F27EEC">
        <w:rPr>
          <w:rFonts w:cs="Times New Roman"/>
          <w:szCs w:val="24"/>
        </w:rPr>
        <w:t>Sue Thomas</w:t>
      </w:r>
      <w:r w:rsidR="00AC24EC">
        <w:rPr>
          <w:rFonts w:cs="Times New Roman"/>
          <w:szCs w:val="24"/>
        </w:rPr>
        <w:t>’s</w:t>
      </w:r>
      <w:r w:rsidR="00F27EEC">
        <w:rPr>
          <w:rFonts w:cs="Times New Roman"/>
          <w:szCs w:val="24"/>
        </w:rPr>
        <w:t xml:space="preserve"> book, </w:t>
      </w:r>
      <w:r w:rsidR="00F27EEC">
        <w:rPr>
          <w:rFonts w:cs="Times New Roman"/>
          <w:i/>
          <w:szCs w:val="24"/>
        </w:rPr>
        <w:t xml:space="preserve">Imperialism, Reform and the Making of Englishness in </w:t>
      </w:r>
      <w:r w:rsidR="00F27EEC">
        <w:rPr>
          <w:rFonts w:cs="Times New Roman"/>
          <w:szCs w:val="24"/>
        </w:rPr>
        <w:t>Jane Eyre</w:t>
      </w:r>
      <w:r w:rsidR="00D24613">
        <w:rPr>
          <w:rFonts w:cs="Times New Roman"/>
          <w:szCs w:val="24"/>
        </w:rPr>
        <w:t xml:space="preserve"> (2008)</w:t>
      </w:r>
      <w:r w:rsidR="003E70BF">
        <w:rPr>
          <w:rFonts w:cs="Times New Roman"/>
          <w:szCs w:val="24"/>
        </w:rPr>
        <w:t>.</w:t>
      </w:r>
      <w:r w:rsidR="00F27EEC">
        <w:rPr>
          <w:rFonts w:cs="Times New Roman"/>
          <w:szCs w:val="24"/>
        </w:rPr>
        <w:t xml:space="preserve"> </w:t>
      </w:r>
      <w:r w:rsidR="00AC24EC">
        <w:rPr>
          <w:rFonts w:cs="Times New Roman"/>
          <w:szCs w:val="24"/>
        </w:rPr>
        <w:t xml:space="preserve"> Thomas is also interested in how an analysis of the history of colonialism brings to light readings which have been obscured by the passage of time. S</w:t>
      </w:r>
      <w:r w:rsidR="00F27EEC">
        <w:rPr>
          <w:rFonts w:cs="Times New Roman"/>
          <w:szCs w:val="24"/>
        </w:rPr>
        <w:t xml:space="preserve">he warns her readers that ‘The historical and cultural distance of later readers has […] rendered aspects of the contemporary worldiness of </w:t>
      </w:r>
      <w:r w:rsidR="00F27EEC">
        <w:rPr>
          <w:rFonts w:cs="Times New Roman"/>
          <w:i/>
          <w:szCs w:val="24"/>
        </w:rPr>
        <w:t>Jane Eyre</w:t>
      </w:r>
      <w:r w:rsidR="002A5469">
        <w:rPr>
          <w:rFonts w:cs="Times New Roman"/>
          <w:szCs w:val="24"/>
        </w:rPr>
        <w:t xml:space="preserve"> unintelligible’ (</w:t>
      </w:r>
      <w:r w:rsidR="00F27EEC">
        <w:rPr>
          <w:rFonts w:cs="Times New Roman"/>
          <w:szCs w:val="24"/>
        </w:rPr>
        <w:t>2). Her ‘worlding’ of the novel</w:t>
      </w:r>
      <w:r w:rsidR="002A5469">
        <w:rPr>
          <w:rFonts w:cs="Times New Roman"/>
          <w:szCs w:val="24"/>
        </w:rPr>
        <w:t xml:space="preserve"> respects</w:t>
      </w:r>
      <w:r w:rsidR="00F27EEC">
        <w:rPr>
          <w:rFonts w:cs="Times New Roman"/>
          <w:szCs w:val="24"/>
        </w:rPr>
        <w:t xml:space="preserve"> the fact that texts are also events with ‘sensuous par</w:t>
      </w:r>
      <w:r w:rsidR="002A5469">
        <w:rPr>
          <w:rFonts w:cs="Times New Roman"/>
          <w:szCs w:val="24"/>
        </w:rPr>
        <w:t>ticularity’,</w:t>
      </w:r>
      <w:r w:rsidR="00F27EEC">
        <w:rPr>
          <w:rFonts w:cs="Times New Roman"/>
          <w:szCs w:val="24"/>
        </w:rPr>
        <w:t xml:space="preserve"> an</w:t>
      </w:r>
      <w:r w:rsidR="002A5469">
        <w:rPr>
          <w:rFonts w:cs="Times New Roman"/>
          <w:szCs w:val="24"/>
        </w:rPr>
        <w:t>d she, like Freedgood,</w:t>
      </w:r>
      <w:r w:rsidR="00F27EEC">
        <w:rPr>
          <w:rFonts w:cs="Times New Roman"/>
          <w:szCs w:val="24"/>
        </w:rPr>
        <w:t xml:space="preserve"> attempt</w:t>
      </w:r>
      <w:r w:rsidR="002A5469">
        <w:rPr>
          <w:rFonts w:cs="Times New Roman"/>
          <w:szCs w:val="24"/>
        </w:rPr>
        <w:t>s</w:t>
      </w:r>
      <w:r w:rsidR="00F27EEC">
        <w:rPr>
          <w:rFonts w:cs="Times New Roman"/>
          <w:szCs w:val="24"/>
        </w:rPr>
        <w:t xml:space="preserve"> to explain what is ‘cryptic to modern </w:t>
      </w:r>
      <w:r w:rsidR="00A728AE">
        <w:rPr>
          <w:rFonts w:cs="Times New Roman"/>
          <w:szCs w:val="24"/>
        </w:rPr>
        <w:t>readers or very compressed’</w:t>
      </w:r>
      <w:r w:rsidR="002A5469">
        <w:rPr>
          <w:rFonts w:cs="Times New Roman"/>
          <w:szCs w:val="24"/>
        </w:rPr>
        <w:t xml:space="preserve"> in order</w:t>
      </w:r>
      <w:r w:rsidR="00F27EEC">
        <w:rPr>
          <w:rFonts w:cs="Times New Roman"/>
          <w:szCs w:val="24"/>
        </w:rPr>
        <w:t xml:space="preserve"> to ‘radically reframe understandings</w:t>
      </w:r>
      <w:r w:rsidR="002A5469">
        <w:rPr>
          <w:rFonts w:cs="Times New Roman"/>
          <w:szCs w:val="24"/>
        </w:rPr>
        <w:t>’</w:t>
      </w:r>
      <w:r w:rsidR="00F27EEC">
        <w:rPr>
          <w:rFonts w:cs="Times New Roman"/>
          <w:szCs w:val="24"/>
        </w:rPr>
        <w:t xml:space="preserve"> of </w:t>
      </w:r>
      <w:r w:rsidR="002A5469">
        <w:rPr>
          <w:rFonts w:cs="Times New Roman"/>
          <w:szCs w:val="24"/>
        </w:rPr>
        <w:t>the novel and its author (</w:t>
      </w:r>
      <w:r w:rsidR="00F27EEC">
        <w:rPr>
          <w:rFonts w:cs="Times New Roman"/>
          <w:szCs w:val="24"/>
        </w:rPr>
        <w:t xml:space="preserve">2). </w:t>
      </w:r>
      <w:r w:rsidR="006546F5">
        <w:rPr>
          <w:rFonts w:cs="Times New Roman"/>
          <w:szCs w:val="24"/>
        </w:rPr>
        <w:t xml:space="preserve">Drawing on nineteenth-century discourses of race to complicate readings of Bertha Mason as </w:t>
      </w:r>
      <w:r w:rsidR="006546F5">
        <w:rPr>
          <w:rFonts w:cs="Times New Roman"/>
          <w:szCs w:val="24"/>
        </w:rPr>
        <w:lastRenderedPageBreak/>
        <w:t>black (a reading initiated by Spivak), Thomas demonstrates that ‘the category [of] whiteness was mutable</w:t>
      </w:r>
      <w:r w:rsidR="00E01EB1">
        <w:rPr>
          <w:rFonts w:cs="Times New Roman"/>
          <w:szCs w:val="24"/>
        </w:rPr>
        <w:t>’ (51)</w:t>
      </w:r>
      <w:r w:rsidR="005121AC">
        <w:rPr>
          <w:rFonts w:cs="Times New Roman"/>
          <w:szCs w:val="24"/>
        </w:rPr>
        <w:t xml:space="preserve"> at this period</w:t>
      </w:r>
      <w:r w:rsidR="00E01EB1">
        <w:rPr>
          <w:rFonts w:cs="Times New Roman"/>
          <w:szCs w:val="24"/>
        </w:rPr>
        <w:t xml:space="preserve">, and by </w:t>
      </w:r>
      <w:r w:rsidR="003E70BF">
        <w:rPr>
          <w:rFonts w:cs="Times New Roman"/>
          <w:szCs w:val="24"/>
        </w:rPr>
        <w:t xml:space="preserve">analysing </w:t>
      </w:r>
      <w:r w:rsidR="00E01EB1">
        <w:rPr>
          <w:rFonts w:cs="Times New Roman"/>
          <w:szCs w:val="24"/>
        </w:rPr>
        <w:t xml:space="preserve">the reports of slave rebellions and abolitionist arguments available to Charlotte Brontë, Bertha can be read as </w:t>
      </w:r>
      <w:r w:rsidR="004247AB">
        <w:rPr>
          <w:rFonts w:cs="Times New Roman"/>
          <w:szCs w:val="24"/>
        </w:rPr>
        <w:t xml:space="preserve">a representative of decadent white slave owners, not </w:t>
      </w:r>
      <w:r w:rsidR="00704E4B">
        <w:rPr>
          <w:rFonts w:cs="Times New Roman"/>
          <w:szCs w:val="24"/>
        </w:rPr>
        <w:t>‘the rebel slave … but</w:t>
      </w:r>
      <w:r w:rsidR="00E01EB1">
        <w:rPr>
          <w:rFonts w:cs="Times New Roman"/>
          <w:szCs w:val="24"/>
        </w:rPr>
        <w:t xml:space="preserve"> the ineducable despot’ (52-53).</w:t>
      </w:r>
    </w:p>
    <w:p w:rsidR="00B450F9" w:rsidRDefault="00043057" w:rsidP="00AC24EC">
      <w:pPr>
        <w:spacing w:line="360" w:lineRule="auto"/>
        <w:jc w:val="both"/>
        <w:rPr>
          <w:rFonts w:cs="Times New Roman"/>
          <w:szCs w:val="24"/>
        </w:rPr>
      </w:pPr>
      <w:r>
        <w:rPr>
          <w:rFonts w:cs="Times New Roman"/>
          <w:szCs w:val="24"/>
        </w:rPr>
        <w:tab/>
      </w:r>
      <w:r w:rsidR="00B95BB7">
        <w:rPr>
          <w:rFonts w:cs="Times New Roman"/>
          <w:szCs w:val="24"/>
        </w:rPr>
        <w:t>The importance of ‘things’ in</w:t>
      </w:r>
      <w:r>
        <w:rPr>
          <w:rFonts w:cs="Times New Roman"/>
          <w:szCs w:val="24"/>
        </w:rPr>
        <w:t xml:space="preserve"> </w:t>
      </w:r>
      <w:r w:rsidR="003E70BF">
        <w:rPr>
          <w:rFonts w:cs="Times New Roman"/>
          <w:szCs w:val="24"/>
        </w:rPr>
        <w:t>Brontë’s work</w:t>
      </w:r>
      <w:r w:rsidR="00B95BB7">
        <w:rPr>
          <w:rFonts w:cs="Times New Roman"/>
          <w:szCs w:val="24"/>
        </w:rPr>
        <w:t xml:space="preserve"> </w:t>
      </w:r>
      <w:r w:rsidR="00F87863">
        <w:rPr>
          <w:rFonts w:cs="Times New Roman"/>
          <w:szCs w:val="24"/>
        </w:rPr>
        <w:t xml:space="preserve">has been emphasised </w:t>
      </w:r>
      <w:r w:rsidR="003E70BF">
        <w:rPr>
          <w:rFonts w:cs="Times New Roman"/>
          <w:szCs w:val="24"/>
        </w:rPr>
        <w:t>by</w:t>
      </w:r>
      <w:r w:rsidR="00F87863">
        <w:rPr>
          <w:rFonts w:cs="Times New Roman"/>
          <w:szCs w:val="24"/>
        </w:rPr>
        <w:t xml:space="preserve"> </w:t>
      </w:r>
      <w:r>
        <w:rPr>
          <w:rFonts w:cs="Times New Roman"/>
          <w:szCs w:val="24"/>
        </w:rPr>
        <w:t>Jonathan Shear</w:t>
      </w:r>
      <w:r w:rsidR="003E70BF">
        <w:rPr>
          <w:rFonts w:cs="Times New Roman"/>
          <w:szCs w:val="24"/>
        </w:rPr>
        <w:t>s and Jen Harrison</w:t>
      </w:r>
      <w:r>
        <w:rPr>
          <w:rFonts w:cs="Times New Roman"/>
          <w:szCs w:val="24"/>
        </w:rPr>
        <w:t xml:space="preserve"> in </w:t>
      </w:r>
      <w:r w:rsidR="00F9607D">
        <w:rPr>
          <w:rFonts w:cs="Times New Roman"/>
          <w:szCs w:val="24"/>
        </w:rPr>
        <w:t>a</w:t>
      </w:r>
      <w:r w:rsidR="003E70BF">
        <w:rPr>
          <w:rFonts w:cs="Times New Roman"/>
          <w:szCs w:val="24"/>
        </w:rPr>
        <w:t xml:space="preserve"> richly detailed</w:t>
      </w:r>
      <w:r>
        <w:rPr>
          <w:rFonts w:cs="Times New Roman"/>
          <w:szCs w:val="24"/>
        </w:rPr>
        <w:t xml:space="preserve"> essay, </w:t>
      </w:r>
      <w:r w:rsidR="00F9607D">
        <w:rPr>
          <w:rFonts w:cs="Times New Roman"/>
          <w:szCs w:val="24"/>
        </w:rPr>
        <w:t xml:space="preserve">‘The Ideas in Thing Town: </w:t>
      </w:r>
      <w:r w:rsidR="00F9607D">
        <w:rPr>
          <w:rFonts w:cs="Times New Roman"/>
          <w:i/>
          <w:szCs w:val="24"/>
        </w:rPr>
        <w:t>Villette</w:t>
      </w:r>
      <w:r w:rsidR="00F9607D">
        <w:rPr>
          <w:rFonts w:cs="Times New Roman"/>
          <w:szCs w:val="24"/>
        </w:rPr>
        <w:t xml:space="preserve">, Art and Moveable Objects’, in </w:t>
      </w:r>
      <w:r w:rsidR="001E3DBB">
        <w:rPr>
          <w:rFonts w:cs="Times New Roman"/>
          <w:szCs w:val="24"/>
        </w:rPr>
        <w:t xml:space="preserve">their edited collection, </w:t>
      </w:r>
      <w:r w:rsidR="00F9607D">
        <w:rPr>
          <w:rFonts w:cs="Times New Roman"/>
          <w:i/>
          <w:szCs w:val="24"/>
        </w:rPr>
        <w:t>Literary Bric-à-Brac and the Victorians: From Commodities to Oddities</w:t>
      </w:r>
      <w:r w:rsidR="00F9607D">
        <w:rPr>
          <w:rFonts w:cs="Times New Roman"/>
          <w:szCs w:val="24"/>
        </w:rPr>
        <w:t xml:space="preserve"> (2013)</w:t>
      </w:r>
      <w:r w:rsidR="003E70BF">
        <w:rPr>
          <w:rFonts w:cs="Times New Roman"/>
          <w:szCs w:val="24"/>
        </w:rPr>
        <w:t>.</w:t>
      </w:r>
      <w:r w:rsidR="001E3DBB">
        <w:rPr>
          <w:rFonts w:cs="Times New Roman"/>
          <w:szCs w:val="24"/>
        </w:rPr>
        <w:t xml:space="preserve"> </w:t>
      </w:r>
      <w:r w:rsidR="00B95BB7">
        <w:rPr>
          <w:rFonts w:cs="Times New Roman"/>
          <w:szCs w:val="24"/>
        </w:rPr>
        <w:t xml:space="preserve">They explore </w:t>
      </w:r>
      <w:r w:rsidR="003E70BF">
        <w:rPr>
          <w:rFonts w:cs="Times New Roman"/>
          <w:szCs w:val="24"/>
        </w:rPr>
        <w:t xml:space="preserve">how </w:t>
      </w:r>
      <w:r w:rsidR="003E70BF">
        <w:rPr>
          <w:rFonts w:cs="Times New Roman"/>
          <w:i/>
          <w:szCs w:val="24"/>
        </w:rPr>
        <w:t>Villette</w:t>
      </w:r>
      <w:r w:rsidR="003E70BF">
        <w:rPr>
          <w:rFonts w:cs="Times New Roman"/>
          <w:szCs w:val="24"/>
        </w:rPr>
        <w:t xml:space="preserve"> highlights </w:t>
      </w:r>
      <w:r w:rsidR="00B95BB7">
        <w:rPr>
          <w:rFonts w:cs="Times New Roman"/>
          <w:szCs w:val="24"/>
        </w:rPr>
        <w:t xml:space="preserve">the </w:t>
      </w:r>
      <w:r w:rsidR="003E70BF">
        <w:rPr>
          <w:rFonts w:cs="Times New Roman"/>
          <w:szCs w:val="24"/>
        </w:rPr>
        <w:t xml:space="preserve">anxious instability of material culture by analysing the </w:t>
      </w:r>
      <w:r w:rsidR="00B95BB7">
        <w:rPr>
          <w:rFonts w:cs="Times New Roman"/>
          <w:szCs w:val="24"/>
        </w:rPr>
        <w:t>apparently uncanny, defamiliarising movability of objects in Lucy Snowe’s world.</w:t>
      </w:r>
      <w:r w:rsidR="00F9607D">
        <w:rPr>
          <w:rFonts w:cs="Times New Roman"/>
          <w:szCs w:val="24"/>
        </w:rPr>
        <w:t xml:space="preserve"> </w:t>
      </w:r>
      <w:r w:rsidR="00F87863">
        <w:rPr>
          <w:rFonts w:cs="Times New Roman"/>
          <w:szCs w:val="24"/>
        </w:rPr>
        <w:t xml:space="preserve">Another writer who focuses on the work of ‘things’ is </w:t>
      </w:r>
      <w:r>
        <w:rPr>
          <w:rFonts w:cs="Times New Roman"/>
          <w:szCs w:val="24"/>
        </w:rPr>
        <w:t>Deborah Lutz</w:t>
      </w:r>
      <w:r w:rsidR="00F87863">
        <w:rPr>
          <w:rFonts w:cs="Times New Roman"/>
          <w:szCs w:val="24"/>
        </w:rPr>
        <w:t xml:space="preserve"> in</w:t>
      </w:r>
      <w:r>
        <w:rPr>
          <w:rFonts w:cs="Times New Roman"/>
          <w:szCs w:val="24"/>
        </w:rPr>
        <w:t xml:space="preserve"> </w:t>
      </w:r>
      <w:r>
        <w:rPr>
          <w:rFonts w:cs="Times New Roman"/>
          <w:i/>
          <w:szCs w:val="24"/>
        </w:rPr>
        <w:t>The Brontë Cabinet</w:t>
      </w:r>
      <w:r>
        <w:rPr>
          <w:rFonts w:cs="Times New Roman"/>
          <w:szCs w:val="24"/>
        </w:rPr>
        <w:t xml:space="preserve"> (2015)</w:t>
      </w:r>
      <w:r w:rsidR="00247A5F">
        <w:rPr>
          <w:rFonts w:cs="Times New Roman"/>
          <w:szCs w:val="24"/>
        </w:rPr>
        <w:t>, a book which successfully straddles academi</w:t>
      </w:r>
      <w:r w:rsidR="00F87863">
        <w:rPr>
          <w:rFonts w:cs="Times New Roman"/>
          <w:szCs w:val="24"/>
        </w:rPr>
        <w:t>c writing and popular biography.</w:t>
      </w:r>
      <w:r>
        <w:rPr>
          <w:rFonts w:cs="Times New Roman"/>
          <w:szCs w:val="24"/>
        </w:rPr>
        <w:t xml:space="preserve"> </w:t>
      </w:r>
      <w:r w:rsidR="00F87863">
        <w:rPr>
          <w:rFonts w:cs="Times New Roman"/>
          <w:szCs w:val="24"/>
        </w:rPr>
        <w:t xml:space="preserve">It </w:t>
      </w:r>
      <w:r>
        <w:rPr>
          <w:rFonts w:cs="Times New Roman"/>
          <w:szCs w:val="24"/>
        </w:rPr>
        <w:t xml:space="preserve">contains nine chapters each based on </w:t>
      </w:r>
      <w:r w:rsidR="00647FA9">
        <w:rPr>
          <w:rFonts w:cs="Times New Roman"/>
          <w:szCs w:val="24"/>
        </w:rPr>
        <w:t>a specific object</w:t>
      </w:r>
      <w:r>
        <w:rPr>
          <w:rFonts w:cs="Times New Roman"/>
          <w:szCs w:val="24"/>
        </w:rPr>
        <w:t xml:space="preserve"> associated with the Brontës’ lives, including the tiny books containing the juvenilia, desks, pets, walking sticks and letter</w:t>
      </w:r>
      <w:r w:rsidR="00647FA9">
        <w:rPr>
          <w:rFonts w:cs="Times New Roman"/>
          <w:szCs w:val="24"/>
        </w:rPr>
        <w:t>s. Lutz</w:t>
      </w:r>
      <w:r w:rsidR="00B450F9">
        <w:rPr>
          <w:rFonts w:cs="Times New Roman"/>
          <w:szCs w:val="24"/>
        </w:rPr>
        <w:t>:</w:t>
      </w:r>
    </w:p>
    <w:p w:rsidR="00043057" w:rsidRDefault="00647FA9" w:rsidP="009E69C2">
      <w:pPr>
        <w:spacing w:line="360" w:lineRule="auto"/>
        <w:ind w:left="567"/>
        <w:jc w:val="both"/>
        <w:rPr>
          <w:rFonts w:cs="Times New Roman"/>
          <w:szCs w:val="24"/>
        </w:rPr>
      </w:pPr>
      <w:r>
        <w:rPr>
          <w:rFonts w:cs="Times New Roman"/>
          <w:szCs w:val="24"/>
        </w:rPr>
        <w:t>p</w:t>
      </w:r>
      <w:r w:rsidR="00043057">
        <w:rPr>
          <w:rFonts w:cs="Times New Roman"/>
          <w:szCs w:val="24"/>
        </w:rPr>
        <w:t>lace</w:t>
      </w:r>
      <w:r>
        <w:rPr>
          <w:rFonts w:cs="Times New Roman"/>
          <w:szCs w:val="24"/>
        </w:rPr>
        <w:t>[s]</w:t>
      </w:r>
      <w:r w:rsidR="00043057">
        <w:rPr>
          <w:rFonts w:cs="Times New Roman"/>
          <w:szCs w:val="24"/>
        </w:rPr>
        <w:t xml:space="preserve"> each object in its cultural setting and in the moments of everyday lives of the Bront</w:t>
      </w:r>
      <w:r w:rsidR="00B450F9">
        <w:rPr>
          <w:rFonts w:cs="Times New Roman"/>
          <w:szCs w:val="24"/>
        </w:rPr>
        <w:t>ës. […] Through the ‘eyes’ of thread, paper, wood, jet, hair, bone, brass, fur, frond, leather, velvet, and ash, new corners and even rooms of these Victorian women’s lives light up for us (xxiv-xxv).</w:t>
      </w:r>
    </w:p>
    <w:p w:rsidR="00B450F9" w:rsidRPr="00B450F9" w:rsidRDefault="00B450F9" w:rsidP="00B450F9">
      <w:pPr>
        <w:spacing w:line="360" w:lineRule="auto"/>
        <w:jc w:val="both"/>
        <w:rPr>
          <w:rFonts w:cs="Times New Roman"/>
          <w:szCs w:val="24"/>
        </w:rPr>
      </w:pPr>
      <w:r>
        <w:rPr>
          <w:rFonts w:cs="Times New Roman"/>
          <w:szCs w:val="24"/>
        </w:rPr>
        <w:t xml:space="preserve">Succumbing to the desire to fetishise </w:t>
      </w:r>
      <w:r w:rsidR="00647FA9">
        <w:rPr>
          <w:rFonts w:cs="Times New Roman"/>
          <w:szCs w:val="24"/>
        </w:rPr>
        <w:t xml:space="preserve">the </w:t>
      </w:r>
      <w:r>
        <w:rPr>
          <w:rFonts w:cs="Times New Roman"/>
          <w:szCs w:val="24"/>
        </w:rPr>
        <w:t xml:space="preserve">loved author’s possessions, Lutz offers fascinating insights into the relationship between objects used by Charlotte Brontë, such as her portable desk, and her fiction. In </w:t>
      </w:r>
      <w:r>
        <w:rPr>
          <w:rFonts w:cs="Times New Roman"/>
          <w:i/>
          <w:szCs w:val="24"/>
        </w:rPr>
        <w:t>Shirley</w:t>
      </w:r>
      <w:r>
        <w:rPr>
          <w:rFonts w:cs="Times New Roman"/>
          <w:szCs w:val="24"/>
        </w:rPr>
        <w:t>, for example, the hidden compartments of her own desk may have inspired Charlotte to ‘erotici</w:t>
      </w:r>
      <w:r w:rsidR="00247A5F">
        <w:rPr>
          <w:rFonts w:cs="Times New Roman"/>
          <w:szCs w:val="24"/>
        </w:rPr>
        <w:t xml:space="preserve">ze[] the contents of her character Shirley’s desk’ </w:t>
      </w:r>
      <w:r w:rsidR="00647FA9">
        <w:rPr>
          <w:rFonts w:cs="Times New Roman"/>
          <w:szCs w:val="24"/>
        </w:rPr>
        <w:t>in the scene where</w:t>
      </w:r>
      <w:r w:rsidR="00247A5F">
        <w:rPr>
          <w:rFonts w:cs="Times New Roman"/>
          <w:szCs w:val="24"/>
        </w:rPr>
        <w:t xml:space="preserve"> </w:t>
      </w:r>
      <w:r w:rsidR="00647FA9">
        <w:rPr>
          <w:rFonts w:cs="Times New Roman"/>
          <w:szCs w:val="24"/>
        </w:rPr>
        <w:t>Louis, finding his lover’s desk</w:t>
      </w:r>
      <w:r w:rsidR="00247A5F">
        <w:rPr>
          <w:rFonts w:cs="Times New Roman"/>
          <w:szCs w:val="24"/>
        </w:rPr>
        <w:t xml:space="preserve"> open, gazes within </w:t>
      </w:r>
      <w:r w:rsidR="00647FA9">
        <w:rPr>
          <w:rFonts w:cs="Times New Roman"/>
          <w:szCs w:val="24"/>
        </w:rPr>
        <w:t xml:space="preserve">and reads her character </w:t>
      </w:r>
      <w:r w:rsidR="00247A5F">
        <w:rPr>
          <w:rFonts w:cs="Times New Roman"/>
          <w:szCs w:val="24"/>
        </w:rPr>
        <w:t>(165).</w:t>
      </w:r>
    </w:p>
    <w:p w:rsidR="00D24613" w:rsidRDefault="00647FA9" w:rsidP="00D24613">
      <w:pPr>
        <w:spacing w:line="360" w:lineRule="auto"/>
        <w:ind w:firstLine="720"/>
        <w:jc w:val="both"/>
        <w:rPr>
          <w:rFonts w:cs="Times New Roman"/>
          <w:szCs w:val="24"/>
        </w:rPr>
      </w:pPr>
      <w:r>
        <w:rPr>
          <w:rFonts w:cs="Times New Roman"/>
          <w:szCs w:val="24"/>
        </w:rPr>
        <w:t xml:space="preserve">The complexity of fetishism features strongly in </w:t>
      </w:r>
      <w:r w:rsidR="00D24613">
        <w:rPr>
          <w:rFonts w:cs="Times New Roman"/>
          <w:szCs w:val="24"/>
        </w:rPr>
        <w:t>Sharon Marcus</w:t>
      </w:r>
      <w:r>
        <w:rPr>
          <w:rFonts w:cs="Times New Roman"/>
          <w:szCs w:val="24"/>
        </w:rPr>
        <w:t>’s work. Hers is</w:t>
      </w:r>
      <w:r w:rsidR="00D24613">
        <w:rPr>
          <w:rFonts w:cs="Times New Roman"/>
          <w:szCs w:val="24"/>
        </w:rPr>
        <w:t xml:space="preserve"> a major voice in queer studies</w:t>
      </w:r>
      <w:r w:rsidR="00F27A93">
        <w:rPr>
          <w:rFonts w:cs="Times New Roman"/>
          <w:szCs w:val="24"/>
        </w:rPr>
        <w:t xml:space="preserve"> today</w:t>
      </w:r>
      <w:r w:rsidR="00D24613">
        <w:rPr>
          <w:rFonts w:cs="Times New Roman"/>
          <w:szCs w:val="24"/>
        </w:rPr>
        <w:t xml:space="preserve">, </w:t>
      </w:r>
      <w:r>
        <w:rPr>
          <w:rFonts w:cs="Times New Roman"/>
          <w:szCs w:val="24"/>
        </w:rPr>
        <w:t xml:space="preserve"> and </w:t>
      </w:r>
      <w:r w:rsidR="00D24613">
        <w:rPr>
          <w:rFonts w:cs="Times New Roman"/>
          <w:szCs w:val="24"/>
        </w:rPr>
        <w:t xml:space="preserve">her book </w:t>
      </w:r>
      <w:r w:rsidR="00D24613" w:rsidRPr="00FA559B">
        <w:rPr>
          <w:rFonts w:cs="Times New Roman"/>
          <w:i/>
          <w:szCs w:val="24"/>
        </w:rPr>
        <w:t xml:space="preserve">Between Women: Friendship, Desire, and Marriage in Victorian England </w:t>
      </w:r>
      <w:r w:rsidR="00D24613" w:rsidRPr="00FA559B">
        <w:rPr>
          <w:rFonts w:cs="Times New Roman"/>
          <w:szCs w:val="24"/>
        </w:rPr>
        <w:t>(2007)</w:t>
      </w:r>
      <w:r>
        <w:rPr>
          <w:rFonts w:cs="Times New Roman"/>
          <w:szCs w:val="24"/>
        </w:rPr>
        <w:t xml:space="preserve"> examines both</w:t>
      </w:r>
      <w:r w:rsidR="00D24613">
        <w:rPr>
          <w:rFonts w:cs="Times New Roman"/>
          <w:szCs w:val="24"/>
        </w:rPr>
        <w:t xml:space="preserve"> </w:t>
      </w:r>
      <w:r w:rsidR="00D24613">
        <w:rPr>
          <w:rFonts w:cs="Times New Roman"/>
          <w:i/>
          <w:szCs w:val="24"/>
        </w:rPr>
        <w:t>Shirley</w:t>
      </w:r>
      <w:r w:rsidR="00D24613">
        <w:rPr>
          <w:rFonts w:cs="Times New Roman"/>
          <w:szCs w:val="24"/>
        </w:rPr>
        <w:t xml:space="preserve"> and</w:t>
      </w:r>
      <w:r w:rsidR="00D24613" w:rsidRPr="00FA559B">
        <w:rPr>
          <w:rFonts w:cs="Times New Roman"/>
          <w:szCs w:val="24"/>
        </w:rPr>
        <w:t xml:space="preserve"> </w:t>
      </w:r>
      <w:r w:rsidR="00D24613" w:rsidRPr="00FA559B">
        <w:rPr>
          <w:rFonts w:cs="Times New Roman"/>
          <w:i/>
          <w:szCs w:val="24"/>
        </w:rPr>
        <w:t>Villette</w:t>
      </w:r>
      <w:r w:rsidR="00D24613" w:rsidRPr="00FA559B">
        <w:rPr>
          <w:rFonts w:cs="Times New Roman"/>
          <w:szCs w:val="24"/>
        </w:rPr>
        <w:t xml:space="preserve"> </w:t>
      </w:r>
      <w:r w:rsidR="00D24613">
        <w:rPr>
          <w:rFonts w:cs="Times New Roman"/>
          <w:szCs w:val="24"/>
        </w:rPr>
        <w:t xml:space="preserve">in terms of </w:t>
      </w:r>
      <w:r w:rsidR="00F27A93">
        <w:rPr>
          <w:rFonts w:cs="Times New Roman"/>
          <w:szCs w:val="24"/>
        </w:rPr>
        <w:t>the</w:t>
      </w:r>
      <w:r w:rsidR="00D24613">
        <w:rPr>
          <w:rFonts w:cs="Times New Roman"/>
          <w:szCs w:val="24"/>
        </w:rPr>
        <w:t xml:space="preserve"> social construction of sexuality and feminine identity in the Victorian period. </w:t>
      </w:r>
      <w:r w:rsidR="00D24613">
        <w:rPr>
          <w:rFonts w:cs="Times New Roman"/>
          <w:i/>
          <w:szCs w:val="24"/>
        </w:rPr>
        <w:t xml:space="preserve">Between Women </w:t>
      </w:r>
      <w:r w:rsidR="00D24613">
        <w:rPr>
          <w:rFonts w:cs="Times New Roman"/>
          <w:szCs w:val="24"/>
        </w:rPr>
        <w:t xml:space="preserve">proposes the argument that </w:t>
      </w:r>
      <w:r>
        <w:rPr>
          <w:rFonts w:cs="Times New Roman"/>
          <w:szCs w:val="24"/>
        </w:rPr>
        <w:t xml:space="preserve">in the Victorian novel </w:t>
      </w:r>
      <w:r w:rsidR="00D24613">
        <w:rPr>
          <w:rFonts w:cs="Times New Roman"/>
          <w:szCs w:val="24"/>
        </w:rPr>
        <w:t xml:space="preserve">female friendship was represented as necessary, for the close bonds between women facilitated marriage, allowing a rehearsal of desire and affection before a wedding took place. Marcus thus interprets the friendship between Caroline Helstone and Shirley Keeldar in </w:t>
      </w:r>
      <w:r w:rsidR="00D24613">
        <w:rPr>
          <w:rFonts w:cs="Times New Roman"/>
          <w:i/>
          <w:szCs w:val="24"/>
        </w:rPr>
        <w:t>Shirley</w:t>
      </w:r>
      <w:r w:rsidR="00D24613">
        <w:rPr>
          <w:rFonts w:cs="Times New Roman"/>
          <w:szCs w:val="24"/>
        </w:rPr>
        <w:t xml:space="preserve"> as facilitating the shy Caroline’s marriage to Robert Moore, for </w:t>
      </w:r>
      <w:r>
        <w:rPr>
          <w:rFonts w:cs="Times New Roman"/>
          <w:szCs w:val="24"/>
        </w:rPr>
        <w:t xml:space="preserve">it is </w:t>
      </w:r>
      <w:r w:rsidR="00D24613">
        <w:rPr>
          <w:rFonts w:cs="Times New Roman"/>
          <w:szCs w:val="24"/>
        </w:rPr>
        <w:t xml:space="preserve">the </w:t>
      </w:r>
      <w:r>
        <w:rPr>
          <w:rFonts w:cs="Times New Roman"/>
          <w:szCs w:val="24"/>
        </w:rPr>
        <w:t>‘</w:t>
      </w:r>
      <w:r w:rsidR="00D24613">
        <w:rPr>
          <w:rFonts w:cs="Times New Roman"/>
          <w:szCs w:val="24"/>
        </w:rPr>
        <w:t>masculine</w:t>
      </w:r>
      <w:r>
        <w:rPr>
          <w:rFonts w:cs="Times New Roman"/>
          <w:szCs w:val="24"/>
        </w:rPr>
        <w:t>’</w:t>
      </w:r>
      <w:r w:rsidR="00D24613">
        <w:rPr>
          <w:rFonts w:cs="Times New Roman"/>
          <w:szCs w:val="24"/>
        </w:rPr>
        <w:t xml:space="preserve"> Shirley </w:t>
      </w:r>
      <w:r>
        <w:rPr>
          <w:rFonts w:cs="Times New Roman"/>
          <w:szCs w:val="24"/>
        </w:rPr>
        <w:t xml:space="preserve">who </w:t>
      </w:r>
      <w:r w:rsidR="00D24613">
        <w:rPr>
          <w:rFonts w:cs="Times New Roman"/>
          <w:szCs w:val="24"/>
        </w:rPr>
        <w:t xml:space="preserve">first teaches her the strength ‘to express emotion’ (99). This novel, Marcus argues, ‘rates female friendship higher than sexual love’ (97-98). </w:t>
      </w:r>
      <w:r w:rsidR="001E3DBB">
        <w:rPr>
          <w:rFonts w:cs="Times New Roman"/>
          <w:szCs w:val="24"/>
        </w:rPr>
        <w:t>By contrast,</w:t>
      </w:r>
      <w:r w:rsidR="00D24613">
        <w:rPr>
          <w:rFonts w:cs="Times New Roman"/>
          <w:szCs w:val="24"/>
        </w:rPr>
        <w:t xml:space="preserve"> </w:t>
      </w:r>
      <w:r w:rsidR="00D24613">
        <w:rPr>
          <w:rFonts w:cs="Times New Roman"/>
          <w:i/>
          <w:szCs w:val="24"/>
        </w:rPr>
        <w:t>Villette</w:t>
      </w:r>
      <w:r w:rsidR="00D24613">
        <w:rPr>
          <w:rFonts w:cs="Times New Roman"/>
          <w:szCs w:val="24"/>
        </w:rPr>
        <w:t xml:space="preserve"> </w:t>
      </w:r>
      <w:r w:rsidR="001E3DBB">
        <w:rPr>
          <w:rFonts w:cs="Times New Roman"/>
          <w:szCs w:val="24"/>
        </w:rPr>
        <w:t>reveals</w:t>
      </w:r>
      <w:r w:rsidR="00D24613">
        <w:rPr>
          <w:rFonts w:cs="Times New Roman"/>
          <w:szCs w:val="24"/>
        </w:rPr>
        <w:t xml:space="preserve"> that Brontë</w:t>
      </w:r>
      <w:r w:rsidR="001E3DBB">
        <w:rPr>
          <w:rFonts w:cs="Times New Roman"/>
          <w:szCs w:val="24"/>
        </w:rPr>
        <w:t xml:space="preserve"> grew</w:t>
      </w:r>
      <w:r w:rsidR="00D24613">
        <w:rPr>
          <w:rFonts w:cs="Times New Roman"/>
          <w:szCs w:val="24"/>
        </w:rPr>
        <w:t xml:space="preserve"> tired of the ‘plot of female amity’, </w:t>
      </w:r>
      <w:r w:rsidR="00D24613">
        <w:rPr>
          <w:rFonts w:cs="Times New Roman"/>
          <w:szCs w:val="24"/>
        </w:rPr>
        <w:lastRenderedPageBreak/>
        <w:t>cho</w:t>
      </w:r>
      <w:r w:rsidR="001E3DBB">
        <w:rPr>
          <w:rFonts w:cs="Times New Roman"/>
          <w:szCs w:val="24"/>
        </w:rPr>
        <w:t>osing instead</w:t>
      </w:r>
      <w:r w:rsidR="00D24613">
        <w:rPr>
          <w:rFonts w:cs="Times New Roman"/>
          <w:szCs w:val="24"/>
        </w:rPr>
        <w:t xml:space="preserve"> to depict a heroine who sees female friends as rivals, ‘as obstacles rather than conduits to marriage’ (107). Marcus argues that ‘nothing seemed more odd to Victorian readers’ than female rivalry, for it is through amity that women help each other towards marriage (106). Nevertheless, Lucy’s ‘</w:t>
      </w:r>
      <w:r w:rsidR="00D24613">
        <w:rPr>
          <w:rFonts w:cs="Times New Roman"/>
          <w:i/>
          <w:szCs w:val="24"/>
        </w:rPr>
        <w:t xml:space="preserve">passion </w:t>
      </w:r>
      <w:r w:rsidR="00D24613" w:rsidRPr="00EB37CA">
        <w:rPr>
          <w:rFonts w:cs="Times New Roman"/>
          <w:szCs w:val="24"/>
        </w:rPr>
        <w:t>for</w:t>
      </w:r>
      <w:r w:rsidR="00D24613">
        <w:rPr>
          <w:rFonts w:cs="Times New Roman"/>
          <w:szCs w:val="24"/>
        </w:rPr>
        <w:t xml:space="preserve"> femininity’ (107: Marcus’s emphasis), evident in her ‘ambivalent’ relationship with Ginevra Fanshawe (103)</w:t>
      </w:r>
      <w:r w:rsidR="00F27A93">
        <w:rPr>
          <w:rFonts w:cs="Times New Roman"/>
          <w:szCs w:val="24"/>
        </w:rPr>
        <w:t>,</w:t>
      </w:r>
      <w:r w:rsidR="00D24613">
        <w:rPr>
          <w:rFonts w:cs="Times New Roman"/>
          <w:szCs w:val="24"/>
        </w:rPr>
        <w:t xml:space="preserve"> and her pleasure in partially cross-dressing and flirting with Ginevra in the school play, renders her a particularly atypical Victorian heroine. </w:t>
      </w:r>
      <w:r w:rsidR="00D24613">
        <w:rPr>
          <w:rFonts w:cs="Times New Roman"/>
          <w:i/>
          <w:szCs w:val="24"/>
        </w:rPr>
        <w:t>Shirley</w:t>
      </w:r>
      <w:r w:rsidR="00D24613">
        <w:rPr>
          <w:rFonts w:cs="Times New Roman"/>
          <w:szCs w:val="24"/>
        </w:rPr>
        <w:t>, on the other hand, usually considered an oddity in Brontë’s oeuvre (a novel which John Plotz has argued ‘is something of a freak’ (</w:t>
      </w:r>
      <w:r w:rsidR="001E3DBB">
        <w:rPr>
          <w:rFonts w:cs="Times New Roman"/>
          <w:szCs w:val="24"/>
        </w:rPr>
        <w:t xml:space="preserve">2000: </w:t>
      </w:r>
      <w:r w:rsidR="00D24613">
        <w:rPr>
          <w:rFonts w:cs="Times New Roman"/>
          <w:szCs w:val="24"/>
        </w:rPr>
        <w:t xml:space="preserve">191)) becomes for Marcus a typical Victorian account of the </w:t>
      </w:r>
      <w:r w:rsidR="001E3DBB">
        <w:rPr>
          <w:rFonts w:cs="Times New Roman"/>
          <w:szCs w:val="24"/>
        </w:rPr>
        <w:t>high social value placed on female friendship</w:t>
      </w:r>
      <w:r w:rsidR="00D24613">
        <w:rPr>
          <w:rFonts w:cs="Times New Roman"/>
          <w:szCs w:val="24"/>
        </w:rPr>
        <w:t>.</w:t>
      </w:r>
      <w:r w:rsidR="00D24613">
        <w:rPr>
          <w:rFonts w:cs="Times New Roman"/>
          <w:i/>
          <w:szCs w:val="24"/>
        </w:rPr>
        <w:t xml:space="preserve"> </w:t>
      </w:r>
      <w:r w:rsidR="0024633A">
        <w:rPr>
          <w:rFonts w:cs="Times New Roman"/>
          <w:szCs w:val="24"/>
        </w:rPr>
        <w:t xml:space="preserve">My own essay, ‘Charlotte Brontë’s Frocks and </w:t>
      </w:r>
      <w:r w:rsidR="0024633A" w:rsidRPr="0024633A">
        <w:rPr>
          <w:rFonts w:cs="Times New Roman"/>
          <w:i/>
          <w:szCs w:val="24"/>
        </w:rPr>
        <w:t>Shirley</w:t>
      </w:r>
      <w:r w:rsidR="0024633A">
        <w:rPr>
          <w:rFonts w:cs="Times New Roman"/>
          <w:szCs w:val="24"/>
        </w:rPr>
        <w:t>’s Queer Textiles’ (2013)</w:t>
      </w:r>
      <w:r w:rsidR="001E3DBB">
        <w:rPr>
          <w:rFonts w:cs="Times New Roman"/>
          <w:szCs w:val="24"/>
        </w:rPr>
        <w:t>, is indebted to Marcus’s work in its exploration of</w:t>
      </w:r>
      <w:r w:rsidR="004B4E00">
        <w:rPr>
          <w:rFonts w:cs="Times New Roman"/>
          <w:szCs w:val="24"/>
        </w:rPr>
        <w:t xml:space="preserve"> the relationship between clothing, textile work and gender in </w:t>
      </w:r>
      <w:r w:rsidR="004B4E00">
        <w:rPr>
          <w:rFonts w:cs="Times New Roman"/>
          <w:i/>
          <w:szCs w:val="24"/>
        </w:rPr>
        <w:t>Shirley</w:t>
      </w:r>
      <w:r w:rsidR="001E3DBB">
        <w:rPr>
          <w:rFonts w:cs="Times New Roman"/>
          <w:szCs w:val="24"/>
        </w:rPr>
        <w:t>.</w:t>
      </w:r>
      <w:r w:rsidR="004B4E00">
        <w:rPr>
          <w:rFonts w:cs="Times New Roman"/>
          <w:i/>
          <w:szCs w:val="24"/>
        </w:rPr>
        <w:t xml:space="preserve"> </w:t>
      </w:r>
      <w:r w:rsidR="001E3DBB">
        <w:rPr>
          <w:rFonts w:cs="Times New Roman"/>
          <w:szCs w:val="24"/>
        </w:rPr>
        <w:t>These themes are linked</w:t>
      </w:r>
      <w:r w:rsidR="004B4E00">
        <w:rPr>
          <w:rFonts w:cs="Times New Roman"/>
          <w:szCs w:val="24"/>
        </w:rPr>
        <w:t xml:space="preserve"> to Brontë’s own experience of the metaphorical cross-dressing involved in </w:t>
      </w:r>
      <w:r w:rsidR="004B4E00">
        <w:rPr>
          <w:szCs w:val="24"/>
        </w:rPr>
        <w:t>the</w:t>
      </w:r>
      <w:r w:rsidR="004B4E00" w:rsidRPr="00B76BB0">
        <w:rPr>
          <w:szCs w:val="24"/>
        </w:rPr>
        <w:t xml:space="preserve"> </w:t>
      </w:r>
      <w:r w:rsidR="004B4E00">
        <w:rPr>
          <w:szCs w:val="24"/>
        </w:rPr>
        <w:t>‘</w:t>
      </w:r>
      <w:r w:rsidR="004B4E00" w:rsidRPr="00B76BB0">
        <w:rPr>
          <w:szCs w:val="24"/>
        </w:rPr>
        <w:t>daily transition between petticoats and breeches involved in being Charlotte Brontë, her father’s housekeeper, and Currer Bell, the famous author</w:t>
      </w:r>
      <w:r w:rsidR="004B4E00">
        <w:rPr>
          <w:szCs w:val="24"/>
        </w:rPr>
        <w:t>’</w:t>
      </w:r>
      <w:r w:rsidR="004B4E00" w:rsidRPr="0024633A" w:rsidDel="0024633A">
        <w:rPr>
          <w:rFonts w:cs="Times New Roman"/>
          <w:szCs w:val="24"/>
        </w:rPr>
        <w:t xml:space="preserve"> </w:t>
      </w:r>
      <w:r>
        <w:rPr>
          <w:rFonts w:cs="Times New Roman"/>
          <w:szCs w:val="24"/>
        </w:rPr>
        <w:t>(153</w:t>
      </w:r>
      <w:r w:rsidR="004B4E00">
        <w:rPr>
          <w:rFonts w:cs="Times New Roman"/>
          <w:szCs w:val="24"/>
        </w:rPr>
        <w:t>).</w:t>
      </w:r>
      <w:r w:rsidR="001E3DBB">
        <w:rPr>
          <w:rFonts w:cs="Times New Roman"/>
          <w:szCs w:val="24"/>
        </w:rPr>
        <w:t xml:space="preserve"> </w:t>
      </w:r>
      <w:r w:rsidR="00DE0006">
        <w:rPr>
          <w:rFonts w:cs="Times New Roman"/>
          <w:szCs w:val="24"/>
        </w:rPr>
        <w:t>The chapter also demonstrates the tension</w:t>
      </w:r>
      <w:r w:rsidR="001E3DBB">
        <w:rPr>
          <w:rFonts w:cs="Times New Roman"/>
          <w:szCs w:val="24"/>
        </w:rPr>
        <w:t>s</w:t>
      </w:r>
      <w:r w:rsidR="00DE0006">
        <w:rPr>
          <w:rFonts w:cs="Times New Roman"/>
          <w:szCs w:val="24"/>
        </w:rPr>
        <w:t xml:space="preserve"> in </w:t>
      </w:r>
      <w:r w:rsidR="00DE0006" w:rsidRPr="009E69C2">
        <w:rPr>
          <w:rFonts w:cs="Times New Roman"/>
          <w:szCs w:val="24"/>
        </w:rPr>
        <w:t>Shirley</w:t>
      </w:r>
      <w:r w:rsidR="00DE0006">
        <w:rPr>
          <w:rFonts w:cs="Times New Roman"/>
          <w:szCs w:val="24"/>
        </w:rPr>
        <w:t xml:space="preserve"> ‘between the capitalist enterprise in wool manufacture and the needlework done by women at home’ (150).</w:t>
      </w:r>
    </w:p>
    <w:p w:rsidR="004B4E00" w:rsidRPr="003B4362" w:rsidRDefault="004B4E00" w:rsidP="00D24613">
      <w:pPr>
        <w:spacing w:line="360" w:lineRule="auto"/>
        <w:ind w:firstLine="720"/>
        <w:jc w:val="both"/>
        <w:rPr>
          <w:rFonts w:cs="Times New Roman"/>
          <w:szCs w:val="24"/>
        </w:rPr>
      </w:pPr>
      <w:r>
        <w:rPr>
          <w:rFonts w:cs="Times New Roman"/>
          <w:szCs w:val="24"/>
        </w:rPr>
        <w:t xml:space="preserve">Gender switching is the </w:t>
      </w:r>
      <w:r w:rsidR="001E3DBB">
        <w:rPr>
          <w:rFonts w:cs="Times New Roman"/>
          <w:szCs w:val="24"/>
        </w:rPr>
        <w:t>focus of William A. Cohen’s complex</w:t>
      </w:r>
      <w:r>
        <w:rPr>
          <w:rFonts w:cs="Times New Roman"/>
          <w:szCs w:val="24"/>
        </w:rPr>
        <w:t xml:space="preserve"> discussion of </w:t>
      </w:r>
      <w:r>
        <w:rPr>
          <w:rFonts w:cs="Times New Roman"/>
          <w:i/>
          <w:szCs w:val="24"/>
        </w:rPr>
        <w:t>The Professor</w:t>
      </w:r>
      <w:r>
        <w:rPr>
          <w:rFonts w:cs="Times New Roman"/>
          <w:szCs w:val="24"/>
        </w:rPr>
        <w:t xml:space="preserve"> in his </w:t>
      </w:r>
      <w:r>
        <w:rPr>
          <w:rFonts w:cs="Times New Roman"/>
          <w:i/>
          <w:szCs w:val="24"/>
        </w:rPr>
        <w:t>Embodied: Victorian Literature and the Senses</w:t>
      </w:r>
      <w:r>
        <w:rPr>
          <w:rFonts w:cs="Times New Roman"/>
          <w:szCs w:val="24"/>
        </w:rPr>
        <w:t xml:space="preserve"> (2009). He identifies the novel’s ‘most remarkable feature’ as </w:t>
      </w:r>
      <w:r w:rsidR="007D435F">
        <w:rPr>
          <w:rFonts w:cs="Times New Roman"/>
          <w:szCs w:val="24"/>
        </w:rPr>
        <w:t>its use of the first-person male narrator, which</w:t>
      </w:r>
      <w:r>
        <w:rPr>
          <w:rFonts w:cs="Times New Roman"/>
          <w:i/>
          <w:szCs w:val="24"/>
        </w:rPr>
        <w:t xml:space="preserve"> </w:t>
      </w:r>
      <w:r w:rsidR="007D435F">
        <w:rPr>
          <w:rFonts w:cs="Times New Roman"/>
          <w:szCs w:val="24"/>
        </w:rPr>
        <w:t>‘</w:t>
      </w:r>
      <w:r>
        <w:rPr>
          <w:rFonts w:cs="Times New Roman"/>
          <w:szCs w:val="24"/>
        </w:rPr>
        <w:t xml:space="preserve">supplies Brontë </w:t>
      </w:r>
      <w:r w:rsidR="007D435F">
        <w:rPr>
          <w:rFonts w:cs="Times New Roman"/>
          <w:szCs w:val="24"/>
        </w:rPr>
        <w:t xml:space="preserve">the opportunity to imagine being a man, and in particular to speculate about how it feels to inhabit a male body’ (41). </w:t>
      </w:r>
      <w:r w:rsidR="005B66B2">
        <w:rPr>
          <w:rFonts w:cs="Times New Roman"/>
          <w:szCs w:val="24"/>
        </w:rPr>
        <w:t>Cohen</w:t>
      </w:r>
      <w:r w:rsidR="007D435F">
        <w:rPr>
          <w:rFonts w:cs="Times New Roman"/>
          <w:szCs w:val="24"/>
        </w:rPr>
        <w:t xml:space="preserve"> doesn’t</w:t>
      </w:r>
      <w:r w:rsidR="005B66B2">
        <w:rPr>
          <w:rFonts w:cs="Times New Roman"/>
          <w:szCs w:val="24"/>
        </w:rPr>
        <w:t>, however,</w:t>
      </w:r>
      <w:r w:rsidR="007D435F">
        <w:rPr>
          <w:rFonts w:cs="Times New Roman"/>
          <w:szCs w:val="24"/>
        </w:rPr>
        <w:t xml:space="preserve"> trace back this ma</w:t>
      </w:r>
      <w:r w:rsidR="005B66B2">
        <w:rPr>
          <w:rFonts w:cs="Times New Roman"/>
          <w:szCs w:val="24"/>
        </w:rPr>
        <w:t xml:space="preserve">le </w:t>
      </w:r>
      <w:r w:rsidR="001E3DBB">
        <w:rPr>
          <w:rFonts w:cs="Times New Roman"/>
          <w:szCs w:val="24"/>
        </w:rPr>
        <w:t xml:space="preserve">identification </w:t>
      </w:r>
      <w:r w:rsidR="005B66B2">
        <w:rPr>
          <w:rFonts w:cs="Times New Roman"/>
          <w:szCs w:val="24"/>
        </w:rPr>
        <w:t>to Brontë’s juvenilia</w:t>
      </w:r>
      <w:r w:rsidR="001E3DBB">
        <w:rPr>
          <w:rFonts w:cs="Times New Roman"/>
          <w:szCs w:val="24"/>
        </w:rPr>
        <w:t>,</w:t>
      </w:r>
      <w:r w:rsidR="007D435F">
        <w:rPr>
          <w:rFonts w:cs="Times New Roman"/>
          <w:szCs w:val="24"/>
        </w:rPr>
        <w:t xml:space="preserve"> where she commonly wrote from </w:t>
      </w:r>
      <w:r w:rsidR="005B66B2">
        <w:rPr>
          <w:rFonts w:cs="Times New Roman"/>
          <w:szCs w:val="24"/>
        </w:rPr>
        <w:t>a male</w:t>
      </w:r>
      <w:r w:rsidR="007D435F">
        <w:rPr>
          <w:rFonts w:cs="Times New Roman"/>
          <w:szCs w:val="24"/>
        </w:rPr>
        <w:t xml:space="preserve"> viewpoint. </w:t>
      </w:r>
      <w:r w:rsidR="005B66B2">
        <w:rPr>
          <w:rFonts w:cs="Times New Roman"/>
          <w:szCs w:val="24"/>
        </w:rPr>
        <w:t>Nevertheless i</w:t>
      </w:r>
      <w:r w:rsidR="003B4362">
        <w:rPr>
          <w:rFonts w:cs="Times New Roman"/>
          <w:szCs w:val="24"/>
        </w:rPr>
        <w:t xml:space="preserve">t is refreshing to read </w:t>
      </w:r>
      <w:r w:rsidR="001E3DBB">
        <w:rPr>
          <w:rFonts w:cs="Times New Roman"/>
          <w:szCs w:val="24"/>
        </w:rPr>
        <w:t>a detailed</w:t>
      </w:r>
      <w:r w:rsidR="003B4362">
        <w:rPr>
          <w:rFonts w:cs="Times New Roman"/>
          <w:szCs w:val="24"/>
        </w:rPr>
        <w:t xml:space="preserve"> analysis of a novel that </w:t>
      </w:r>
      <w:r w:rsidR="006276BB">
        <w:rPr>
          <w:rFonts w:cs="Times New Roman"/>
          <w:szCs w:val="24"/>
        </w:rPr>
        <w:t>has generally been</w:t>
      </w:r>
      <w:r w:rsidR="003B4362">
        <w:rPr>
          <w:rFonts w:cs="Times New Roman"/>
          <w:szCs w:val="24"/>
        </w:rPr>
        <w:t xml:space="preserve"> little-discussed; he asserts that </w:t>
      </w:r>
      <w:r w:rsidR="003B4362">
        <w:rPr>
          <w:rFonts w:cs="Times New Roman"/>
          <w:i/>
          <w:szCs w:val="24"/>
        </w:rPr>
        <w:t>The Professor</w:t>
      </w:r>
      <w:r w:rsidR="003B4362">
        <w:rPr>
          <w:rFonts w:cs="Times New Roman"/>
          <w:szCs w:val="24"/>
        </w:rPr>
        <w:t xml:space="preserve"> is a</w:t>
      </w:r>
      <w:r w:rsidR="005B66B2">
        <w:rPr>
          <w:rFonts w:cs="Times New Roman"/>
          <w:szCs w:val="24"/>
        </w:rPr>
        <w:t>n unusually</w:t>
      </w:r>
      <w:r w:rsidR="003B4362">
        <w:rPr>
          <w:rFonts w:cs="Times New Roman"/>
          <w:szCs w:val="24"/>
        </w:rPr>
        <w:t xml:space="preserve"> ‘dramatic staging of the relation between the interior subject and the body’ (40), thus emphasising </w:t>
      </w:r>
      <w:r w:rsidR="005B66B2">
        <w:rPr>
          <w:rFonts w:cs="Times New Roman"/>
          <w:szCs w:val="24"/>
        </w:rPr>
        <w:t>the novel’s wider</w:t>
      </w:r>
      <w:r w:rsidR="003B4362">
        <w:rPr>
          <w:rFonts w:cs="Times New Roman"/>
          <w:szCs w:val="24"/>
        </w:rPr>
        <w:t xml:space="preserve"> significance in Victorian literary culture.</w:t>
      </w:r>
    </w:p>
    <w:p w:rsidR="00E01EB1" w:rsidRDefault="005B66B2" w:rsidP="00E01EB1">
      <w:pPr>
        <w:spacing w:line="360" w:lineRule="auto"/>
        <w:ind w:firstLine="720"/>
        <w:jc w:val="both"/>
        <w:rPr>
          <w:rFonts w:cs="Times New Roman"/>
          <w:szCs w:val="24"/>
        </w:rPr>
      </w:pPr>
      <w:r>
        <w:rPr>
          <w:rFonts w:cs="Times New Roman"/>
          <w:szCs w:val="24"/>
        </w:rPr>
        <w:t>Despite some valuable discussion</w:t>
      </w:r>
      <w:r w:rsidR="006276BB">
        <w:rPr>
          <w:rFonts w:cs="Times New Roman"/>
          <w:szCs w:val="24"/>
        </w:rPr>
        <w:t>s</w:t>
      </w:r>
      <w:r>
        <w:rPr>
          <w:rFonts w:cs="Times New Roman"/>
          <w:szCs w:val="24"/>
        </w:rPr>
        <w:t xml:space="preserve"> of </w:t>
      </w:r>
      <w:r>
        <w:rPr>
          <w:rFonts w:cs="Times New Roman"/>
          <w:i/>
          <w:szCs w:val="24"/>
        </w:rPr>
        <w:t>The Professor</w:t>
      </w:r>
      <w:r>
        <w:rPr>
          <w:rFonts w:cs="Times New Roman"/>
          <w:szCs w:val="24"/>
        </w:rPr>
        <w:t xml:space="preserve">, </w:t>
      </w:r>
      <w:r>
        <w:rPr>
          <w:rFonts w:cs="Times New Roman"/>
          <w:i/>
          <w:szCs w:val="24"/>
        </w:rPr>
        <w:t>Shirley</w:t>
      </w:r>
      <w:r>
        <w:rPr>
          <w:rFonts w:cs="Times New Roman"/>
          <w:szCs w:val="24"/>
        </w:rPr>
        <w:t xml:space="preserve">, and </w:t>
      </w:r>
      <w:r>
        <w:rPr>
          <w:rFonts w:cs="Times New Roman"/>
          <w:i/>
          <w:szCs w:val="24"/>
        </w:rPr>
        <w:t>Villette</w:t>
      </w:r>
      <w:r>
        <w:rPr>
          <w:rFonts w:cs="Times New Roman"/>
          <w:szCs w:val="24"/>
        </w:rPr>
        <w:t xml:space="preserve">, </w:t>
      </w:r>
      <w:r w:rsidR="003B4362">
        <w:rPr>
          <w:rFonts w:cs="Times New Roman"/>
          <w:i/>
          <w:szCs w:val="24"/>
        </w:rPr>
        <w:t xml:space="preserve">Jane Eyre </w:t>
      </w:r>
      <w:r w:rsidR="003B4362">
        <w:rPr>
          <w:rFonts w:cs="Times New Roman"/>
          <w:szCs w:val="24"/>
        </w:rPr>
        <w:t xml:space="preserve">continues to dominate </w:t>
      </w:r>
      <w:r w:rsidR="006276BB">
        <w:rPr>
          <w:rFonts w:cs="Times New Roman"/>
          <w:szCs w:val="24"/>
        </w:rPr>
        <w:t>critical accounts of</w:t>
      </w:r>
      <w:r w:rsidR="003B4362">
        <w:rPr>
          <w:rFonts w:cs="Times New Roman"/>
          <w:szCs w:val="24"/>
        </w:rPr>
        <w:t xml:space="preserve"> Brontë</w:t>
      </w:r>
      <w:r w:rsidR="006276BB">
        <w:rPr>
          <w:rFonts w:cs="Times New Roman"/>
          <w:szCs w:val="24"/>
        </w:rPr>
        <w:t>’s work</w:t>
      </w:r>
      <w:r w:rsidR="003B4362">
        <w:rPr>
          <w:rFonts w:cs="Times New Roman"/>
          <w:szCs w:val="24"/>
        </w:rPr>
        <w:t xml:space="preserve">, </w:t>
      </w:r>
      <w:r>
        <w:rPr>
          <w:rFonts w:cs="Times New Roman"/>
          <w:szCs w:val="24"/>
        </w:rPr>
        <w:t>although interestin</w:t>
      </w:r>
      <w:r w:rsidR="006276BB">
        <w:rPr>
          <w:rFonts w:cs="Times New Roman"/>
          <w:szCs w:val="24"/>
        </w:rPr>
        <w:t>g</w:t>
      </w:r>
      <w:r>
        <w:rPr>
          <w:rFonts w:cs="Times New Roman"/>
          <w:szCs w:val="24"/>
        </w:rPr>
        <w:t xml:space="preserve">ly </w:t>
      </w:r>
      <w:r w:rsidR="006276BB">
        <w:rPr>
          <w:rFonts w:cs="Times New Roman"/>
          <w:szCs w:val="24"/>
        </w:rPr>
        <w:t>t</w:t>
      </w:r>
      <w:r w:rsidR="00D24613">
        <w:rPr>
          <w:rFonts w:cs="Times New Roman"/>
          <w:szCs w:val="24"/>
        </w:rPr>
        <w:t>he figure of Bertha Mason</w:t>
      </w:r>
      <w:r w:rsidR="00E01EB1">
        <w:rPr>
          <w:rFonts w:cs="Times New Roman"/>
          <w:szCs w:val="24"/>
        </w:rPr>
        <w:t xml:space="preserve"> </w:t>
      </w:r>
      <w:r w:rsidR="003B4362">
        <w:rPr>
          <w:rFonts w:cs="Times New Roman"/>
          <w:szCs w:val="24"/>
        </w:rPr>
        <w:t>h</w:t>
      </w:r>
      <w:r w:rsidR="006276BB">
        <w:rPr>
          <w:rFonts w:cs="Times New Roman"/>
          <w:szCs w:val="24"/>
        </w:rPr>
        <w:t>as</w:t>
      </w:r>
      <w:r w:rsidR="00341109">
        <w:rPr>
          <w:rFonts w:cs="Times New Roman"/>
          <w:szCs w:val="24"/>
        </w:rPr>
        <w:t xml:space="preserve"> increasingly </w:t>
      </w:r>
      <w:r w:rsidR="006276BB">
        <w:rPr>
          <w:rFonts w:cs="Times New Roman"/>
          <w:szCs w:val="24"/>
        </w:rPr>
        <w:t xml:space="preserve">been </w:t>
      </w:r>
      <w:r w:rsidR="00341109">
        <w:rPr>
          <w:rFonts w:cs="Times New Roman"/>
          <w:szCs w:val="24"/>
        </w:rPr>
        <w:t xml:space="preserve">shifted </w:t>
      </w:r>
      <w:r>
        <w:rPr>
          <w:rFonts w:cs="Times New Roman"/>
          <w:szCs w:val="24"/>
        </w:rPr>
        <w:t>into the foreground</w:t>
      </w:r>
      <w:r w:rsidR="00E01EB1">
        <w:rPr>
          <w:rFonts w:cs="Times New Roman"/>
          <w:szCs w:val="24"/>
        </w:rPr>
        <w:t xml:space="preserve">. </w:t>
      </w:r>
      <w:r w:rsidR="008A01E0">
        <w:rPr>
          <w:rFonts w:cs="Times New Roman"/>
          <w:szCs w:val="24"/>
        </w:rPr>
        <w:t xml:space="preserve">This </w:t>
      </w:r>
      <w:r>
        <w:rPr>
          <w:rFonts w:cs="Times New Roman"/>
          <w:szCs w:val="24"/>
        </w:rPr>
        <w:t xml:space="preserve">tendency </w:t>
      </w:r>
      <w:r w:rsidR="008A01E0">
        <w:rPr>
          <w:rFonts w:cs="Times New Roman"/>
          <w:szCs w:val="24"/>
        </w:rPr>
        <w:t>is evident in o</w:t>
      </w:r>
      <w:r w:rsidR="00E01EB1">
        <w:rPr>
          <w:rFonts w:cs="Times New Roman"/>
          <w:szCs w:val="24"/>
        </w:rPr>
        <w:t xml:space="preserve">ne of the most </w:t>
      </w:r>
      <w:r w:rsidR="00F27A93">
        <w:rPr>
          <w:rFonts w:cs="Times New Roman"/>
          <w:szCs w:val="24"/>
        </w:rPr>
        <w:t>thought-provoking</w:t>
      </w:r>
      <w:r w:rsidR="00E01EB1">
        <w:rPr>
          <w:rFonts w:cs="Times New Roman"/>
          <w:szCs w:val="24"/>
        </w:rPr>
        <w:t xml:space="preserve"> </w:t>
      </w:r>
      <w:r w:rsidR="008A01E0">
        <w:rPr>
          <w:rFonts w:cs="Times New Roman"/>
          <w:szCs w:val="24"/>
        </w:rPr>
        <w:t>contributions to Charlotte Brontë studies</w:t>
      </w:r>
      <w:r w:rsidR="005121AC">
        <w:rPr>
          <w:rFonts w:cs="Times New Roman"/>
          <w:szCs w:val="24"/>
        </w:rPr>
        <w:t xml:space="preserve"> in recent years</w:t>
      </w:r>
      <w:r w:rsidR="008A01E0">
        <w:rPr>
          <w:rFonts w:cs="Times New Roman"/>
          <w:szCs w:val="24"/>
        </w:rPr>
        <w:t>,</w:t>
      </w:r>
      <w:r w:rsidR="00E01EB1">
        <w:rPr>
          <w:rFonts w:cs="Times New Roman"/>
          <w:szCs w:val="24"/>
        </w:rPr>
        <w:t xml:space="preserve"> </w:t>
      </w:r>
      <w:r w:rsidR="00E01EB1">
        <w:rPr>
          <w:rFonts w:cs="Times New Roman"/>
          <w:i/>
          <w:szCs w:val="24"/>
        </w:rPr>
        <w:t xml:space="preserve">The Madwoman and the Blind Man: </w:t>
      </w:r>
      <w:r w:rsidR="00E01EB1">
        <w:rPr>
          <w:rFonts w:cs="Times New Roman"/>
          <w:szCs w:val="24"/>
        </w:rPr>
        <w:t xml:space="preserve">Jane Eyre, </w:t>
      </w:r>
      <w:r w:rsidR="00E01EB1">
        <w:rPr>
          <w:rFonts w:cs="Times New Roman"/>
          <w:i/>
          <w:szCs w:val="24"/>
        </w:rPr>
        <w:t>Discourse, Disability</w:t>
      </w:r>
      <w:r w:rsidR="00E01EB1">
        <w:rPr>
          <w:rFonts w:cs="Times New Roman"/>
          <w:szCs w:val="24"/>
        </w:rPr>
        <w:t xml:space="preserve"> (2012)</w:t>
      </w:r>
      <w:r w:rsidR="006276BB">
        <w:rPr>
          <w:rFonts w:cs="Times New Roman"/>
          <w:szCs w:val="24"/>
        </w:rPr>
        <w:t xml:space="preserve"> edited by Bolt, Rodas and Donaldson</w:t>
      </w:r>
      <w:r w:rsidR="008A01E0">
        <w:rPr>
          <w:rFonts w:cs="Times New Roman"/>
          <w:szCs w:val="24"/>
        </w:rPr>
        <w:t>,</w:t>
      </w:r>
      <w:r w:rsidR="00E01EB1">
        <w:rPr>
          <w:rFonts w:cs="Times New Roman"/>
          <w:szCs w:val="24"/>
        </w:rPr>
        <w:t xml:space="preserve"> which </w:t>
      </w:r>
      <w:r w:rsidR="008A01E0">
        <w:rPr>
          <w:rFonts w:cs="Times New Roman"/>
          <w:szCs w:val="24"/>
        </w:rPr>
        <w:t>presents</w:t>
      </w:r>
      <w:r w:rsidR="00E01EB1">
        <w:rPr>
          <w:rFonts w:cs="Times New Roman"/>
          <w:szCs w:val="24"/>
        </w:rPr>
        <w:t xml:space="preserve"> </w:t>
      </w:r>
      <w:r w:rsidR="005121AC">
        <w:rPr>
          <w:rFonts w:cs="Times New Roman"/>
          <w:szCs w:val="24"/>
        </w:rPr>
        <w:t xml:space="preserve">among its eight chapters </w:t>
      </w:r>
      <w:r w:rsidR="00E01EB1">
        <w:rPr>
          <w:rFonts w:cs="Times New Roman"/>
          <w:szCs w:val="24"/>
        </w:rPr>
        <w:t xml:space="preserve">some thoughtful </w:t>
      </w:r>
      <w:r w:rsidR="008A01E0">
        <w:rPr>
          <w:rFonts w:cs="Times New Roman"/>
          <w:szCs w:val="24"/>
        </w:rPr>
        <w:t>discussions of</w:t>
      </w:r>
      <w:r w:rsidR="00E01EB1">
        <w:rPr>
          <w:rFonts w:cs="Times New Roman"/>
          <w:szCs w:val="24"/>
        </w:rPr>
        <w:t xml:space="preserve"> Bertha Mason’s ‘madness’. The title of this edited collection</w:t>
      </w:r>
      <w:r w:rsidR="00D24613">
        <w:rPr>
          <w:rFonts w:cs="Times New Roman"/>
          <w:szCs w:val="24"/>
        </w:rPr>
        <w:t>, of course,</w:t>
      </w:r>
      <w:r w:rsidR="00E01EB1">
        <w:rPr>
          <w:rFonts w:cs="Times New Roman"/>
          <w:szCs w:val="24"/>
        </w:rPr>
        <w:t xml:space="preserve"> echoes Gilbert and Gubar’s </w:t>
      </w:r>
      <w:r w:rsidR="00E01EB1">
        <w:rPr>
          <w:rFonts w:cs="Times New Roman"/>
          <w:i/>
          <w:szCs w:val="24"/>
        </w:rPr>
        <w:t>The Madwoman in the Attic</w:t>
      </w:r>
      <w:r w:rsidR="00E01EB1">
        <w:rPr>
          <w:rFonts w:cs="Times New Roman"/>
          <w:szCs w:val="24"/>
        </w:rPr>
        <w:t xml:space="preserve">, and many of </w:t>
      </w:r>
      <w:r w:rsidR="00D24613">
        <w:rPr>
          <w:rFonts w:cs="Times New Roman"/>
          <w:szCs w:val="24"/>
        </w:rPr>
        <w:t>i</w:t>
      </w:r>
      <w:r w:rsidR="00E01EB1">
        <w:rPr>
          <w:rFonts w:cs="Times New Roman"/>
          <w:szCs w:val="24"/>
        </w:rPr>
        <w:t>t</w:t>
      </w:r>
      <w:r w:rsidR="00D24613">
        <w:rPr>
          <w:rFonts w:cs="Times New Roman"/>
          <w:szCs w:val="24"/>
        </w:rPr>
        <w:t xml:space="preserve">s </w:t>
      </w:r>
      <w:r w:rsidR="00E01EB1">
        <w:rPr>
          <w:rFonts w:cs="Times New Roman"/>
          <w:szCs w:val="24"/>
        </w:rPr>
        <w:t>chapters</w:t>
      </w:r>
      <w:r w:rsidR="0017155C">
        <w:rPr>
          <w:rFonts w:cs="Times New Roman"/>
          <w:szCs w:val="24"/>
        </w:rPr>
        <w:t xml:space="preserve"> are in dialogue with the earlier </w:t>
      </w:r>
      <w:r w:rsidR="0017155C">
        <w:rPr>
          <w:rFonts w:cs="Times New Roman"/>
          <w:szCs w:val="24"/>
        </w:rPr>
        <w:lastRenderedPageBreak/>
        <w:t>book</w:t>
      </w:r>
      <w:r w:rsidR="00E01EB1">
        <w:rPr>
          <w:rFonts w:cs="Times New Roman"/>
          <w:szCs w:val="24"/>
        </w:rPr>
        <w:t xml:space="preserve">. </w:t>
      </w:r>
      <w:r w:rsidR="00E01EB1">
        <w:rPr>
          <w:rFonts w:cs="Times New Roman"/>
          <w:i/>
          <w:szCs w:val="24"/>
        </w:rPr>
        <w:t>The Madwoman and the Blind Man</w:t>
      </w:r>
      <w:r w:rsidR="00E01EB1">
        <w:rPr>
          <w:rFonts w:cs="Times New Roman"/>
          <w:szCs w:val="24"/>
        </w:rPr>
        <w:t xml:space="preserve"> constitutes an important step in disability studies, paving the way for new readings of </w:t>
      </w:r>
      <w:r w:rsidR="002D50F7">
        <w:rPr>
          <w:rFonts w:cs="Times New Roman"/>
          <w:szCs w:val="24"/>
        </w:rPr>
        <w:t>other</w:t>
      </w:r>
      <w:r w:rsidR="00E01EB1">
        <w:rPr>
          <w:rFonts w:cs="Times New Roman"/>
          <w:szCs w:val="24"/>
        </w:rPr>
        <w:t xml:space="preserve"> Victorian novels. It is </w:t>
      </w:r>
      <w:r w:rsidR="0017155C">
        <w:rPr>
          <w:rFonts w:cs="Times New Roman"/>
          <w:szCs w:val="24"/>
        </w:rPr>
        <w:t>interesting</w:t>
      </w:r>
      <w:r w:rsidR="00E01EB1">
        <w:rPr>
          <w:rFonts w:cs="Times New Roman"/>
          <w:szCs w:val="24"/>
        </w:rPr>
        <w:t xml:space="preserve"> that the editors chose to focus exclusively on </w:t>
      </w:r>
      <w:r w:rsidR="00E01EB1">
        <w:rPr>
          <w:rFonts w:cs="Times New Roman"/>
          <w:i/>
          <w:szCs w:val="24"/>
        </w:rPr>
        <w:t>Jane Eyre</w:t>
      </w:r>
      <w:r w:rsidR="00E01EB1">
        <w:rPr>
          <w:rFonts w:cs="Times New Roman"/>
          <w:szCs w:val="24"/>
        </w:rPr>
        <w:t>, particularly as Brontë’s other novels engage with disability and illness. Yet the advantage of reading</w:t>
      </w:r>
      <w:r w:rsidR="002D50F7">
        <w:rPr>
          <w:rFonts w:cs="Times New Roman"/>
          <w:szCs w:val="24"/>
        </w:rPr>
        <w:t xml:space="preserve"> on</w:t>
      </w:r>
      <w:r w:rsidR="00D24613">
        <w:rPr>
          <w:rFonts w:cs="Times New Roman"/>
          <w:szCs w:val="24"/>
        </w:rPr>
        <w:t>e</w:t>
      </w:r>
      <w:r w:rsidR="002D50F7">
        <w:rPr>
          <w:rFonts w:cs="Times New Roman"/>
          <w:szCs w:val="24"/>
        </w:rPr>
        <w:t xml:space="preserve"> text</w:t>
      </w:r>
      <w:r w:rsidR="00E01EB1">
        <w:rPr>
          <w:rFonts w:cs="Times New Roman"/>
          <w:szCs w:val="24"/>
        </w:rPr>
        <w:t xml:space="preserve"> through the lens of disability studies is that </w:t>
      </w:r>
      <w:r w:rsidR="00341109">
        <w:rPr>
          <w:rFonts w:cs="Times New Roman"/>
          <w:szCs w:val="24"/>
        </w:rPr>
        <w:t xml:space="preserve"> the contributors are</w:t>
      </w:r>
      <w:r w:rsidR="00E01EB1">
        <w:rPr>
          <w:rFonts w:cs="Times New Roman"/>
          <w:szCs w:val="24"/>
        </w:rPr>
        <w:t xml:space="preserve"> able to demonstrate </w:t>
      </w:r>
      <w:r w:rsidR="00341109">
        <w:rPr>
          <w:rFonts w:cs="Times New Roman"/>
          <w:szCs w:val="24"/>
        </w:rPr>
        <w:t xml:space="preserve">better </w:t>
      </w:r>
      <w:r w:rsidR="00E01EB1">
        <w:rPr>
          <w:rFonts w:cs="Times New Roman"/>
          <w:szCs w:val="24"/>
        </w:rPr>
        <w:t>the plurality and complexity of an approach which has wide ranging significance, exposing long-held</w:t>
      </w:r>
      <w:r w:rsidR="0017155C">
        <w:rPr>
          <w:rFonts w:cs="Times New Roman"/>
          <w:szCs w:val="24"/>
        </w:rPr>
        <w:t xml:space="preserve"> cultural assumptions that read</w:t>
      </w:r>
      <w:r w:rsidR="00E01EB1">
        <w:rPr>
          <w:rFonts w:cs="Times New Roman"/>
          <w:szCs w:val="24"/>
        </w:rPr>
        <w:t xml:space="preserve"> disability only as a problem. Additionally, by choosing what the editors proclaim as ‘one of the most widely read and widely written about nov</w:t>
      </w:r>
      <w:r w:rsidR="0017155C">
        <w:rPr>
          <w:rFonts w:cs="Times New Roman"/>
          <w:szCs w:val="24"/>
        </w:rPr>
        <w:t>els in the English language’ (</w:t>
      </w:r>
      <w:r w:rsidR="00E01EB1">
        <w:rPr>
          <w:rFonts w:cs="Times New Roman"/>
          <w:szCs w:val="24"/>
        </w:rPr>
        <w:t xml:space="preserve">1), they are able to </w:t>
      </w:r>
      <w:r w:rsidR="0017155C">
        <w:rPr>
          <w:rFonts w:cs="Times New Roman"/>
          <w:szCs w:val="24"/>
        </w:rPr>
        <w:t>highlight</w:t>
      </w:r>
      <w:r w:rsidR="00E01EB1">
        <w:rPr>
          <w:rFonts w:cs="Times New Roman"/>
          <w:szCs w:val="24"/>
        </w:rPr>
        <w:t xml:space="preserve"> </w:t>
      </w:r>
      <w:r w:rsidR="00341109">
        <w:rPr>
          <w:rFonts w:cs="Times New Roman"/>
          <w:szCs w:val="24"/>
        </w:rPr>
        <w:t xml:space="preserve">some of </w:t>
      </w:r>
      <w:r w:rsidR="00E01EB1">
        <w:rPr>
          <w:rFonts w:cs="Times New Roman"/>
          <w:szCs w:val="24"/>
        </w:rPr>
        <w:t xml:space="preserve">the </w:t>
      </w:r>
      <w:r w:rsidR="00341109">
        <w:rPr>
          <w:rFonts w:cs="Times New Roman"/>
          <w:szCs w:val="24"/>
        </w:rPr>
        <w:t>oversights</w:t>
      </w:r>
      <w:r>
        <w:rPr>
          <w:rFonts w:cs="Times New Roman"/>
          <w:szCs w:val="24"/>
        </w:rPr>
        <w:t xml:space="preserve"> </w:t>
      </w:r>
      <w:r w:rsidR="00E01EB1">
        <w:rPr>
          <w:rFonts w:cs="Times New Roman"/>
          <w:szCs w:val="24"/>
        </w:rPr>
        <w:t xml:space="preserve">of previous interpretations. </w:t>
      </w:r>
      <w:r w:rsidR="00D24613">
        <w:rPr>
          <w:rFonts w:cs="Times New Roman"/>
          <w:szCs w:val="24"/>
        </w:rPr>
        <w:t>Interestingly, s</w:t>
      </w:r>
      <w:r w:rsidR="0017155C">
        <w:rPr>
          <w:rFonts w:cs="Times New Roman"/>
          <w:szCs w:val="24"/>
        </w:rPr>
        <w:t>ome of the chapters celebrate Charlotte Brontë’s radical depictions of disability, while others point out her limitations.</w:t>
      </w:r>
      <w:r w:rsidR="002D50F7">
        <w:rPr>
          <w:rFonts w:cs="Times New Roman"/>
          <w:szCs w:val="24"/>
        </w:rPr>
        <w:t xml:space="preserve"> </w:t>
      </w:r>
    </w:p>
    <w:p w:rsidR="00730BEE" w:rsidRDefault="00E01EB1" w:rsidP="00E01EB1">
      <w:pPr>
        <w:spacing w:line="360" w:lineRule="auto"/>
        <w:jc w:val="both"/>
        <w:rPr>
          <w:rFonts w:cs="Times New Roman"/>
          <w:szCs w:val="24"/>
        </w:rPr>
      </w:pPr>
      <w:r>
        <w:rPr>
          <w:rFonts w:cs="Times New Roman"/>
          <w:szCs w:val="24"/>
        </w:rPr>
        <w:tab/>
        <w:t xml:space="preserve">In their introduction </w:t>
      </w:r>
      <w:r w:rsidR="00D24613">
        <w:rPr>
          <w:rFonts w:cs="Times New Roman"/>
          <w:szCs w:val="24"/>
        </w:rPr>
        <w:t>the editors</w:t>
      </w:r>
      <w:r>
        <w:rPr>
          <w:rFonts w:cs="Times New Roman"/>
          <w:szCs w:val="24"/>
        </w:rPr>
        <w:t xml:space="preserve"> take issue with those critics who have read disability in </w:t>
      </w:r>
      <w:r>
        <w:rPr>
          <w:rFonts w:cs="Times New Roman"/>
          <w:i/>
          <w:szCs w:val="24"/>
        </w:rPr>
        <w:t>Jane Eyre</w:t>
      </w:r>
      <w:r>
        <w:rPr>
          <w:rFonts w:cs="Times New Roman"/>
          <w:szCs w:val="24"/>
        </w:rPr>
        <w:t xml:space="preserve"> ‘in almost purely symbolic terms’ rather than as a ‘complex identity position’ (2). </w:t>
      </w:r>
      <w:r w:rsidR="0017155C">
        <w:rPr>
          <w:rFonts w:cs="Times New Roman"/>
          <w:szCs w:val="24"/>
        </w:rPr>
        <w:t>F</w:t>
      </w:r>
      <w:r>
        <w:rPr>
          <w:rFonts w:cs="Times New Roman"/>
          <w:szCs w:val="24"/>
        </w:rPr>
        <w:t xml:space="preserve">or many readers, Rochester’s accident, in which he loses an eye and a hand, as well as </w:t>
      </w:r>
      <w:r w:rsidR="0017155C">
        <w:rPr>
          <w:rFonts w:cs="Times New Roman"/>
          <w:szCs w:val="24"/>
        </w:rPr>
        <w:t>his loss of</w:t>
      </w:r>
      <w:r>
        <w:rPr>
          <w:rFonts w:cs="Times New Roman"/>
          <w:szCs w:val="24"/>
        </w:rPr>
        <w:t xml:space="preserve"> sight in </w:t>
      </w:r>
      <w:r w:rsidR="0017155C">
        <w:rPr>
          <w:rFonts w:cs="Times New Roman"/>
          <w:szCs w:val="24"/>
        </w:rPr>
        <w:t>the</w:t>
      </w:r>
      <w:r>
        <w:rPr>
          <w:rFonts w:cs="Times New Roman"/>
          <w:szCs w:val="24"/>
        </w:rPr>
        <w:t xml:space="preserve"> remaining eye, is a cautionary tale, </w:t>
      </w:r>
      <w:r w:rsidR="0017155C">
        <w:rPr>
          <w:rFonts w:cs="Times New Roman"/>
          <w:szCs w:val="24"/>
        </w:rPr>
        <w:t>a</w:t>
      </w:r>
      <w:r>
        <w:rPr>
          <w:rFonts w:cs="Times New Roman"/>
          <w:szCs w:val="24"/>
        </w:rPr>
        <w:t xml:space="preserve"> </w:t>
      </w:r>
      <w:r w:rsidR="00B25960">
        <w:rPr>
          <w:rFonts w:cs="Times New Roman"/>
          <w:szCs w:val="24"/>
        </w:rPr>
        <w:t>‘</w:t>
      </w:r>
      <w:r>
        <w:rPr>
          <w:rFonts w:cs="Times New Roman"/>
          <w:szCs w:val="24"/>
        </w:rPr>
        <w:t>punishment</w:t>
      </w:r>
      <w:r w:rsidR="00B25960">
        <w:rPr>
          <w:rFonts w:cs="Times New Roman"/>
          <w:szCs w:val="24"/>
        </w:rPr>
        <w:t>’</w:t>
      </w:r>
      <w:r>
        <w:rPr>
          <w:rFonts w:cs="Times New Roman"/>
          <w:szCs w:val="24"/>
        </w:rPr>
        <w:t xml:space="preserve"> for his </w:t>
      </w:r>
      <w:r w:rsidR="0017155C">
        <w:rPr>
          <w:rFonts w:cs="Times New Roman"/>
          <w:szCs w:val="24"/>
        </w:rPr>
        <w:t>arrogance towards women</w:t>
      </w:r>
      <w:r>
        <w:rPr>
          <w:rFonts w:cs="Times New Roman"/>
          <w:szCs w:val="24"/>
        </w:rPr>
        <w:t>,</w:t>
      </w:r>
      <w:r w:rsidR="0017155C">
        <w:rPr>
          <w:rFonts w:cs="Times New Roman"/>
          <w:szCs w:val="24"/>
        </w:rPr>
        <w:t xml:space="preserve"> or,</w:t>
      </w:r>
      <w:r>
        <w:rPr>
          <w:rFonts w:cs="Times New Roman"/>
          <w:szCs w:val="24"/>
        </w:rPr>
        <w:t xml:space="preserve"> </w:t>
      </w:r>
      <w:r w:rsidR="0017155C">
        <w:rPr>
          <w:rFonts w:cs="Times New Roman"/>
          <w:szCs w:val="24"/>
        </w:rPr>
        <w:t>as Gilbert and Gubar argued, a symbolic castration</w:t>
      </w:r>
      <w:r>
        <w:rPr>
          <w:rFonts w:cs="Times New Roman"/>
          <w:szCs w:val="24"/>
        </w:rPr>
        <w:t xml:space="preserve">. The editors </w:t>
      </w:r>
      <w:r w:rsidR="00D24613">
        <w:rPr>
          <w:rFonts w:cs="Times New Roman"/>
          <w:szCs w:val="24"/>
        </w:rPr>
        <w:t xml:space="preserve">of </w:t>
      </w:r>
      <w:r w:rsidR="00D24613">
        <w:rPr>
          <w:rFonts w:cs="Times New Roman"/>
          <w:i/>
          <w:szCs w:val="24"/>
        </w:rPr>
        <w:t xml:space="preserve">The Madwoman and the Blindman </w:t>
      </w:r>
      <w:r>
        <w:rPr>
          <w:rFonts w:cs="Times New Roman"/>
          <w:szCs w:val="24"/>
        </w:rPr>
        <w:t xml:space="preserve">point out that </w:t>
      </w:r>
      <w:r>
        <w:rPr>
          <w:rFonts w:cs="Times New Roman"/>
          <w:i/>
          <w:szCs w:val="24"/>
        </w:rPr>
        <w:t>Jane Eyre</w:t>
      </w:r>
      <w:r>
        <w:rPr>
          <w:rFonts w:cs="Times New Roman"/>
          <w:szCs w:val="24"/>
        </w:rPr>
        <w:t xml:space="preserve"> appeared ‘at a time of radical transformation in the way Victorian bodies and minds were conceptualized’ (4), and </w:t>
      </w:r>
      <w:r w:rsidR="0017155C">
        <w:rPr>
          <w:rFonts w:cs="Times New Roman"/>
          <w:szCs w:val="24"/>
        </w:rPr>
        <w:t>they</w:t>
      </w:r>
      <w:r>
        <w:rPr>
          <w:rFonts w:cs="Times New Roman"/>
          <w:szCs w:val="24"/>
        </w:rPr>
        <w:t xml:space="preserve"> </w:t>
      </w:r>
      <w:r w:rsidR="00D24613">
        <w:rPr>
          <w:rFonts w:cs="Times New Roman"/>
          <w:szCs w:val="24"/>
        </w:rPr>
        <w:t>indicate</w:t>
      </w:r>
      <w:r>
        <w:rPr>
          <w:rFonts w:cs="Times New Roman"/>
          <w:szCs w:val="24"/>
        </w:rPr>
        <w:t xml:space="preserve"> the shaky foundations of </w:t>
      </w:r>
      <w:r w:rsidR="00D24613">
        <w:rPr>
          <w:rFonts w:cs="Times New Roman"/>
          <w:szCs w:val="24"/>
        </w:rPr>
        <w:t>those</w:t>
      </w:r>
      <w:r>
        <w:rPr>
          <w:rFonts w:cs="Times New Roman"/>
          <w:szCs w:val="24"/>
        </w:rPr>
        <w:t xml:space="preserve"> feminist int</w:t>
      </w:r>
      <w:r w:rsidR="00D24613">
        <w:rPr>
          <w:rFonts w:cs="Times New Roman"/>
          <w:szCs w:val="24"/>
        </w:rPr>
        <w:t>erpretations of the novel</w:t>
      </w:r>
      <w:r>
        <w:rPr>
          <w:rFonts w:cs="Times New Roman"/>
          <w:szCs w:val="24"/>
        </w:rPr>
        <w:t xml:space="preserve"> </w:t>
      </w:r>
      <w:r w:rsidR="00B25960">
        <w:rPr>
          <w:rFonts w:cs="Times New Roman"/>
          <w:szCs w:val="24"/>
        </w:rPr>
        <w:t xml:space="preserve">which </w:t>
      </w:r>
      <w:r w:rsidR="00F27A93">
        <w:rPr>
          <w:rFonts w:cs="Times New Roman"/>
          <w:szCs w:val="24"/>
        </w:rPr>
        <w:t>propos</w:t>
      </w:r>
      <w:r w:rsidR="00B25960">
        <w:rPr>
          <w:rFonts w:cs="Times New Roman"/>
          <w:szCs w:val="24"/>
        </w:rPr>
        <w:t>e</w:t>
      </w:r>
      <w:r w:rsidR="00F27A93">
        <w:rPr>
          <w:rFonts w:cs="Times New Roman"/>
          <w:szCs w:val="24"/>
        </w:rPr>
        <w:t xml:space="preserve"> that</w:t>
      </w:r>
      <w:r>
        <w:rPr>
          <w:rFonts w:cs="Times New Roman"/>
          <w:szCs w:val="24"/>
        </w:rPr>
        <w:t xml:space="preserve"> Rochester’s </w:t>
      </w:r>
      <w:r w:rsidR="00730BEE">
        <w:rPr>
          <w:rFonts w:cs="Times New Roman"/>
          <w:szCs w:val="24"/>
        </w:rPr>
        <w:t>injuries are</w:t>
      </w:r>
      <w:r w:rsidR="00D24613">
        <w:rPr>
          <w:rFonts w:cs="Times New Roman"/>
          <w:szCs w:val="24"/>
        </w:rPr>
        <w:t xml:space="preserve"> a necessary </w:t>
      </w:r>
      <w:r>
        <w:rPr>
          <w:rFonts w:cs="Times New Roman"/>
          <w:szCs w:val="24"/>
        </w:rPr>
        <w:t>‘punishment’</w:t>
      </w:r>
      <w:r w:rsidR="00730BEE">
        <w:rPr>
          <w:rFonts w:cs="Times New Roman"/>
          <w:szCs w:val="24"/>
        </w:rPr>
        <w:t xml:space="preserve"> for his treatment of women</w:t>
      </w:r>
      <w:r>
        <w:rPr>
          <w:rFonts w:cs="Times New Roman"/>
          <w:szCs w:val="24"/>
        </w:rPr>
        <w:t xml:space="preserve">. </w:t>
      </w:r>
    </w:p>
    <w:p w:rsidR="00D24613" w:rsidRDefault="00E01EB1" w:rsidP="00730BEE">
      <w:pPr>
        <w:spacing w:line="360" w:lineRule="auto"/>
        <w:ind w:firstLine="567"/>
        <w:jc w:val="both"/>
        <w:rPr>
          <w:rFonts w:cs="Times New Roman"/>
          <w:szCs w:val="24"/>
        </w:rPr>
      </w:pPr>
      <w:r>
        <w:rPr>
          <w:rFonts w:cs="Times New Roman"/>
          <w:szCs w:val="24"/>
        </w:rPr>
        <w:t>David Bolt’s chapter</w:t>
      </w:r>
      <w:r w:rsidR="00730BEE">
        <w:rPr>
          <w:rFonts w:cs="Times New Roman"/>
          <w:szCs w:val="24"/>
        </w:rPr>
        <w:t xml:space="preserve">, ‘The Blindman in the Classic: Feminisms, Ocularcentrism, and </w:t>
      </w:r>
      <w:r w:rsidR="00730BEE">
        <w:rPr>
          <w:rFonts w:cs="Times New Roman"/>
          <w:i/>
          <w:szCs w:val="24"/>
        </w:rPr>
        <w:t>Jane Eyre</w:t>
      </w:r>
      <w:r w:rsidR="00730BEE">
        <w:rPr>
          <w:rFonts w:cs="Times New Roman"/>
          <w:szCs w:val="24"/>
        </w:rPr>
        <w:t>’,</w:t>
      </w:r>
      <w:r>
        <w:rPr>
          <w:rFonts w:cs="Times New Roman"/>
          <w:szCs w:val="24"/>
        </w:rPr>
        <w:t xml:space="preserve"> highlights </w:t>
      </w:r>
      <w:r w:rsidR="0017155C">
        <w:rPr>
          <w:rFonts w:cs="Times New Roman"/>
          <w:szCs w:val="24"/>
        </w:rPr>
        <w:t>Brontë</w:t>
      </w:r>
      <w:r w:rsidR="00730BEE">
        <w:rPr>
          <w:rFonts w:cs="Times New Roman"/>
          <w:szCs w:val="24"/>
        </w:rPr>
        <w:t>’s</w:t>
      </w:r>
      <w:r w:rsidR="0017155C">
        <w:rPr>
          <w:rFonts w:cs="Times New Roman"/>
          <w:szCs w:val="24"/>
        </w:rPr>
        <w:t xml:space="preserve"> </w:t>
      </w:r>
      <w:r>
        <w:rPr>
          <w:rFonts w:cs="Times New Roman"/>
          <w:szCs w:val="24"/>
        </w:rPr>
        <w:t xml:space="preserve">limited view of disability, arguing that </w:t>
      </w:r>
      <w:r w:rsidR="006207AD">
        <w:rPr>
          <w:rFonts w:cs="Times New Roman"/>
          <w:szCs w:val="24"/>
        </w:rPr>
        <w:t xml:space="preserve">she accepts </w:t>
      </w:r>
      <w:r>
        <w:rPr>
          <w:rFonts w:cs="Times New Roman"/>
          <w:szCs w:val="24"/>
        </w:rPr>
        <w:t>patriarchal myths of sight and blindness too readily. He points out that she</w:t>
      </w:r>
      <w:r w:rsidR="00D24613">
        <w:rPr>
          <w:rFonts w:cs="Times New Roman"/>
          <w:szCs w:val="24"/>
        </w:rPr>
        <w:t>:</w:t>
      </w:r>
    </w:p>
    <w:p w:rsidR="00D24613" w:rsidRPr="00D24613" w:rsidRDefault="00E01EB1" w:rsidP="00D24613">
      <w:pPr>
        <w:spacing w:line="360" w:lineRule="auto"/>
        <w:ind w:left="567"/>
        <w:jc w:val="both"/>
        <w:rPr>
          <w:rFonts w:cs="Times New Roman"/>
          <w:sz w:val="20"/>
        </w:rPr>
      </w:pPr>
      <w:r w:rsidRPr="00D24613">
        <w:rPr>
          <w:rFonts w:cs="Times New Roman"/>
          <w:sz w:val="20"/>
        </w:rPr>
        <w:t>portrays someone who has visual impairment but takes into account only the experience of people who do not have visual impairments. The result is a diminished character who augments the st</w:t>
      </w:r>
      <w:r w:rsidR="006207AD" w:rsidRPr="00D24613">
        <w:rPr>
          <w:rFonts w:cs="Times New Roman"/>
          <w:sz w:val="20"/>
        </w:rPr>
        <w:t>atus of the sighted protagonist</w:t>
      </w:r>
      <w:r w:rsidR="00D24613" w:rsidRPr="00D24613">
        <w:rPr>
          <w:rFonts w:cs="Times New Roman"/>
          <w:sz w:val="20"/>
        </w:rPr>
        <w:t>.</w:t>
      </w:r>
      <w:r w:rsidRPr="00D24613">
        <w:rPr>
          <w:rFonts w:cs="Times New Roman"/>
          <w:sz w:val="20"/>
        </w:rPr>
        <w:t xml:space="preserve"> (49-50)</w:t>
      </w:r>
      <w:r w:rsidR="006207AD" w:rsidRPr="00D24613">
        <w:rPr>
          <w:rFonts w:cs="Times New Roman"/>
          <w:sz w:val="20"/>
        </w:rPr>
        <w:t xml:space="preserve"> </w:t>
      </w:r>
    </w:p>
    <w:p w:rsidR="00E01EB1" w:rsidRDefault="00E01EB1" w:rsidP="00E01EB1">
      <w:pPr>
        <w:spacing w:line="360" w:lineRule="auto"/>
        <w:jc w:val="both"/>
        <w:rPr>
          <w:rFonts w:cs="Times New Roman"/>
          <w:szCs w:val="24"/>
        </w:rPr>
      </w:pPr>
      <w:r>
        <w:rPr>
          <w:rFonts w:cs="Times New Roman"/>
          <w:szCs w:val="24"/>
        </w:rPr>
        <w:t xml:space="preserve">Martha Stoddart Holmes, </w:t>
      </w:r>
      <w:r w:rsidR="006207AD">
        <w:rPr>
          <w:rFonts w:cs="Times New Roman"/>
          <w:szCs w:val="24"/>
        </w:rPr>
        <w:t xml:space="preserve">on the other hand, </w:t>
      </w:r>
      <w:r>
        <w:rPr>
          <w:rFonts w:cs="Times New Roman"/>
          <w:szCs w:val="24"/>
        </w:rPr>
        <w:t xml:space="preserve">in her chapter ‘Visions of Rochester: Screening Desire and Disability in </w:t>
      </w:r>
      <w:r>
        <w:rPr>
          <w:rFonts w:cs="Times New Roman"/>
          <w:i/>
          <w:szCs w:val="24"/>
        </w:rPr>
        <w:t>Jane Eyre</w:t>
      </w:r>
      <w:r>
        <w:rPr>
          <w:rFonts w:cs="Times New Roman"/>
          <w:szCs w:val="24"/>
        </w:rPr>
        <w:t xml:space="preserve">’, </w:t>
      </w:r>
      <w:r w:rsidR="006207AD">
        <w:rPr>
          <w:rFonts w:cs="Times New Roman"/>
          <w:szCs w:val="24"/>
        </w:rPr>
        <w:t>reads</w:t>
      </w:r>
      <w:r>
        <w:rPr>
          <w:rFonts w:cs="Times New Roman"/>
          <w:szCs w:val="24"/>
        </w:rPr>
        <w:t xml:space="preserve"> the novel </w:t>
      </w:r>
      <w:r w:rsidR="006207AD">
        <w:rPr>
          <w:rFonts w:cs="Times New Roman"/>
          <w:szCs w:val="24"/>
        </w:rPr>
        <w:t>as more ambiguous</w:t>
      </w:r>
      <w:r w:rsidR="00D24613">
        <w:rPr>
          <w:rFonts w:cs="Times New Roman"/>
          <w:szCs w:val="24"/>
        </w:rPr>
        <w:t>.</w:t>
      </w:r>
      <w:r w:rsidR="006207AD">
        <w:rPr>
          <w:rFonts w:cs="Times New Roman"/>
          <w:szCs w:val="24"/>
        </w:rPr>
        <w:t xml:space="preserve"> </w:t>
      </w:r>
      <w:r w:rsidR="00D24613">
        <w:rPr>
          <w:rFonts w:cs="Times New Roman"/>
          <w:szCs w:val="24"/>
        </w:rPr>
        <w:t>She</w:t>
      </w:r>
      <w:r w:rsidR="006207AD">
        <w:rPr>
          <w:rFonts w:cs="Times New Roman"/>
          <w:szCs w:val="24"/>
        </w:rPr>
        <w:t xml:space="preserve"> focuses on</w:t>
      </w:r>
      <w:r>
        <w:rPr>
          <w:rFonts w:cs="Times New Roman"/>
          <w:szCs w:val="24"/>
        </w:rPr>
        <w:t xml:space="preserve"> </w:t>
      </w:r>
      <w:r w:rsidR="00D24613">
        <w:rPr>
          <w:rFonts w:cs="Times New Roman"/>
          <w:szCs w:val="24"/>
        </w:rPr>
        <w:t>its screen adaptations,</w:t>
      </w:r>
      <w:r>
        <w:rPr>
          <w:rFonts w:cs="Times New Roman"/>
          <w:szCs w:val="24"/>
        </w:rPr>
        <w:t xml:space="preserve"> </w:t>
      </w:r>
      <w:r w:rsidR="00D24613">
        <w:rPr>
          <w:rFonts w:cs="Times New Roman"/>
          <w:szCs w:val="24"/>
        </w:rPr>
        <w:t>finding</w:t>
      </w:r>
      <w:r>
        <w:rPr>
          <w:rFonts w:cs="Times New Roman"/>
          <w:szCs w:val="24"/>
        </w:rPr>
        <w:t xml:space="preserve"> many film versions of </w:t>
      </w:r>
      <w:r>
        <w:rPr>
          <w:rFonts w:cs="Times New Roman"/>
          <w:i/>
          <w:szCs w:val="24"/>
        </w:rPr>
        <w:t>Jane Eyre</w:t>
      </w:r>
      <w:r>
        <w:rPr>
          <w:rFonts w:cs="Times New Roman"/>
          <w:szCs w:val="24"/>
        </w:rPr>
        <w:t xml:space="preserve"> ‘progressive’ in that they ‘grapple, consciously or otherwise, with deeply engraved social fears and values regarding disability and desire’ (151). While Bolt sees Brontë as failing to </w:t>
      </w:r>
      <w:r w:rsidR="00730BEE">
        <w:rPr>
          <w:rFonts w:cs="Times New Roman"/>
          <w:szCs w:val="24"/>
        </w:rPr>
        <w:t>re</w:t>
      </w:r>
      <w:r>
        <w:rPr>
          <w:rFonts w:cs="Times New Roman"/>
          <w:szCs w:val="24"/>
        </w:rPr>
        <w:t xml:space="preserve">present </w:t>
      </w:r>
      <w:r w:rsidR="00730BEE">
        <w:rPr>
          <w:rFonts w:cs="Times New Roman"/>
          <w:szCs w:val="24"/>
        </w:rPr>
        <w:t xml:space="preserve">adequately </w:t>
      </w:r>
      <w:r>
        <w:rPr>
          <w:rFonts w:cs="Times New Roman"/>
          <w:szCs w:val="24"/>
        </w:rPr>
        <w:t>the experience of d</w:t>
      </w:r>
      <w:r w:rsidR="00730BEE">
        <w:rPr>
          <w:rFonts w:cs="Times New Roman"/>
          <w:szCs w:val="24"/>
        </w:rPr>
        <w:t>isabled people, Stoddard Holmes</w:t>
      </w:r>
      <w:r>
        <w:rPr>
          <w:rFonts w:cs="Times New Roman"/>
          <w:szCs w:val="24"/>
        </w:rPr>
        <w:t xml:space="preserve"> </w:t>
      </w:r>
      <w:r w:rsidR="00730BEE">
        <w:rPr>
          <w:rFonts w:cs="Times New Roman"/>
          <w:szCs w:val="24"/>
        </w:rPr>
        <w:t>sees her</w:t>
      </w:r>
      <w:r>
        <w:rPr>
          <w:rFonts w:cs="Times New Roman"/>
          <w:szCs w:val="24"/>
        </w:rPr>
        <w:t xml:space="preserve"> as refusing the view ‘that disabled people are not sexual people’, unlike some critics and filmmakers who </w:t>
      </w:r>
      <w:r w:rsidR="00730BEE">
        <w:rPr>
          <w:rFonts w:cs="Times New Roman"/>
          <w:szCs w:val="24"/>
        </w:rPr>
        <w:t xml:space="preserve">have </w:t>
      </w:r>
      <w:r>
        <w:rPr>
          <w:rFonts w:cs="Times New Roman"/>
          <w:szCs w:val="24"/>
        </w:rPr>
        <w:t>tend</w:t>
      </w:r>
      <w:r w:rsidR="00730BEE">
        <w:rPr>
          <w:rFonts w:cs="Times New Roman"/>
          <w:szCs w:val="24"/>
        </w:rPr>
        <w:t>ed</w:t>
      </w:r>
      <w:r>
        <w:rPr>
          <w:rFonts w:cs="Times New Roman"/>
          <w:szCs w:val="24"/>
        </w:rPr>
        <w:t xml:space="preserve"> to assume ‘that sex and disability are mutually exclusive spheres’(154). Brontë opens up a ‘progressive conversation </w:t>
      </w:r>
      <w:r>
        <w:rPr>
          <w:rFonts w:cs="Times New Roman"/>
          <w:szCs w:val="24"/>
        </w:rPr>
        <w:lastRenderedPageBreak/>
        <w:t>about a changed body’</w:t>
      </w:r>
      <w:r w:rsidR="00730BEE">
        <w:rPr>
          <w:rFonts w:cs="Times New Roman"/>
          <w:szCs w:val="24"/>
        </w:rPr>
        <w:t xml:space="preserve"> in her representation of </w:t>
      </w:r>
      <w:r>
        <w:rPr>
          <w:rFonts w:cs="Times New Roman"/>
          <w:szCs w:val="24"/>
        </w:rPr>
        <w:t xml:space="preserve">Rochester’s loss of </w:t>
      </w:r>
      <w:r w:rsidR="00730BEE">
        <w:rPr>
          <w:rFonts w:cs="Times New Roman"/>
          <w:szCs w:val="24"/>
        </w:rPr>
        <w:t>an eye and a hand (162). S</w:t>
      </w:r>
      <w:r>
        <w:rPr>
          <w:rFonts w:cs="Times New Roman"/>
          <w:szCs w:val="24"/>
        </w:rPr>
        <w:t xml:space="preserve">ome screen adaptations are </w:t>
      </w:r>
      <w:r w:rsidR="00730BEE">
        <w:rPr>
          <w:rFonts w:cs="Times New Roman"/>
          <w:szCs w:val="24"/>
        </w:rPr>
        <w:t>equally radical in making</w:t>
      </w:r>
      <w:r>
        <w:rPr>
          <w:rFonts w:cs="Times New Roman"/>
          <w:szCs w:val="24"/>
        </w:rPr>
        <w:t xml:space="preserve"> Rochester disabled and attractive,</w:t>
      </w:r>
      <w:r w:rsidR="00730BEE">
        <w:rPr>
          <w:rFonts w:cs="Times New Roman"/>
          <w:szCs w:val="24"/>
        </w:rPr>
        <w:t xml:space="preserve"> thus</w:t>
      </w:r>
      <w:r>
        <w:rPr>
          <w:rFonts w:cs="Times New Roman"/>
          <w:szCs w:val="24"/>
        </w:rPr>
        <w:t xml:space="preserve"> ‘invit[ing] us to reconsider desire </w:t>
      </w:r>
      <w:r w:rsidR="002D50F7">
        <w:rPr>
          <w:rFonts w:cs="Times New Roman"/>
          <w:szCs w:val="24"/>
        </w:rPr>
        <w:t>…</w:t>
      </w:r>
      <w:r>
        <w:rPr>
          <w:rFonts w:cs="Times New Roman"/>
          <w:szCs w:val="24"/>
        </w:rPr>
        <w:t xml:space="preserve"> within a broader aesthetic than that defined by conventional faces, ordinary vision, and upright posture’ (174). </w:t>
      </w:r>
      <w:r w:rsidR="006207AD">
        <w:rPr>
          <w:rFonts w:cs="Times New Roman"/>
          <w:szCs w:val="24"/>
        </w:rPr>
        <w:t xml:space="preserve">While </w:t>
      </w:r>
      <w:r w:rsidR="00730BEE">
        <w:rPr>
          <w:rFonts w:cs="Times New Roman"/>
          <w:szCs w:val="24"/>
        </w:rPr>
        <w:t xml:space="preserve">some </w:t>
      </w:r>
      <w:r>
        <w:rPr>
          <w:rFonts w:cs="Times New Roman"/>
          <w:szCs w:val="24"/>
        </w:rPr>
        <w:t xml:space="preserve">film critics have objected to </w:t>
      </w:r>
      <w:r w:rsidR="00730BEE">
        <w:rPr>
          <w:rFonts w:cs="Times New Roman"/>
          <w:szCs w:val="24"/>
        </w:rPr>
        <w:t>adaptations</w:t>
      </w:r>
      <w:r w:rsidR="006207AD">
        <w:rPr>
          <w:rFonts w:cs="Times New Roman"/>
          <w:szCs w:val="24"/>
        </w:rPr>
        <w:t xml:space="preserve"> making</w:t>
      </w:r>
      <w:r>
        <w:rPr>
          <w:rFonts w:cs="Times New Roman"/>
          <w:szCs w:val="24"/>
        </w:rPr>
        <w:t xml:space="preserve"> Rochester ‘too se</w:t>
      </w:r>
      <w:r w:rsidR="006207AD">
        <w:rPr>
          <w:rFonts w:cs="Times New Roman"/>
          <w:szCs w:val="24"/>
        </w:rPr>
        <w:t>xual to be disabled’ (173),</w:t>
      </w:r>
      <w:r>
        <w:rPr>
          <w:rFonts w:cs="Times New Roman"/>
          <w:szCs w:val="24"/>
        </w:rPr>
        <w:t xml:space="preserve"> Stoddard Holmes exposes the</w:t>
      </w:r>
      <w:r w:rsidR="006207AD">
        <w:rPr>
          <w:rFonts w:cs="Times New Roman"/>
          <w:szCs w:val="24"/>
        </w:rPr>
        <w:t>ir</w:t>
      </w:r>
      <w:r>
        <w:rPr>
          <w:rFonts w:cs="Times New Roman"/>
          <w:szCs w:val="24"/>
        </w:rPr>
        <w:t xml:space="preserve"> limitations </w:t>
      </w:r>
      <w:r w:rsidR="00730BEE">
        <w:rPr>
          <w:rFonts w:cs="Times New Roman"/>
          <w:szCs w:val="24"/>
        </w:rPr>
        <w:t>in</w:t>
      </w:r>
      <w:r>
        <w:rPr>
          <w:rFonts w:cs="Times New Roman"/>
          <w:szCs w:val="24"/>
        </w:rPr>
        <w:t xml:space="preserve"> fail</w:t>
      </w:r>
      <w:r w:rsidR="00730BEE">
        <w:rPr>
          <w:rFonts w:cs="Times New Roman"/>
          <w:szCs w:val="24"/>
        </w:rPr>
        <w:t>ing</w:t>
      </w:r>
      <w:r>
        <w:rPr>
          <w:rFonts w:cs="Times New Roman"/>
          <w:szCs w:val="24"/>
        </w:rPr>
        <w:t xml:space="preserve"> to see the offensiveness of their assumptions about normative </w:t>
      </w:r>
      <w:r w:rsidR="00730BEE">
        <w:rPr>
          <w:rFonts w:cs="Times New Roman"/>
          <w:szCs w:val="24"/>
        </w:rPr>
        <w:t xml:space="preserve">and disabled </w:t>
      </w:r>
      <w:r>
        <w:rPr>
          <w:rFonts w:cs="Times New Roman"/>
          <w:szCs w:val="24"/>
        </w:rPr>
        <w:t>bodies.</w:t>
      </w:r>
    </w:p>
    <w:p w:rsidR="00980AF2" w:rsidRPr="000A67DA" w:rsidRDefault="00980AF2" w:rsidP="00E01EB1">
      <w:pPr>
        <w:spacing w:line="360" w:lineRule="auto"/>
        <w:jc w:val="both"/>
        <w:rPr>
          <w:rFonts w:cs="Times New Roman"/>
          <w:szCs w:val="24"/>
        </w:rPr>
      </w:pPr>
      <w:r>
        <w:rPr>
          <w:rFonts w:cs="Times New Roman"/>
          <w:szCs w:val="24"/>
        </w:rPr>
        <w:tab/>
      </w:r>
      <w:r w:rsidR="008A01E0">
        <w:rPr>
          <w:rFonts w:cs="Times New Roman"/>
          <w:szCs w:val="24"/>
        </w:rPr>
        <w:t xml:space="preserve">Alongside </w:t>
      </w:r>
      <w:r w:rsidR="000930C0">
        <w:rPr>
          <w:rFonts w:cs="Times New Roman"/>
          <w:szCs w:val="24"/>
        </w:rPr>
        <w:t>historicist</w:t>
      </w:r>
      <w:r w:rsidR="008A01E0">
        <w:rPr>
          <w:rFonts w:cs="Times New Roman"/>
          <w:szCs w:val="24"/>
        </w:rPr>
        <w:t xml:space="preserve"> approaches to Charlotte Brontë are </w:t>
      </w:r>
      <w:r w:rsidR="00B25960">
        <w:rPr>
          <w:rFonts w:cs="Times New Roman"/>
          <w:szCs w:val="24"/>
        </w:rPr>
        <w:t>many</w:t>
      </w:r>
      <w:r w:rsidR="00AF4517">
        <w:rPr>
          <w:rFonts w:cs="Times New Roman"/>
          <w:szCs w:val="24"/>
        </w:rPr>
        <w:t xml:space="preserve"> worthwhile </w:t>
      </w:r>
      <w:r w:rsidR="00D24613">
        <w:rPr>
          <w:rFonts w:cs="Times New Roman"/>
          <w:szCs w:val="24"/>
        </w:rPr>
        <w:t xml:space="preserve">new </w:t>
      </w:r>
      <w:r w:rsidR="008A01E0">
        <w:rPr>
          <w:rFonts w:cs="Times New Roman"/>
          <w:szCs w:val="24"/>
        </w:rPr>
        <w:t xml:space="preserve">studies </w:t>
      </w:r>
      <w:r w:rsidR="000930C0">
        <w:rPr>
          <w:rFonts w:cs="Times New Roman"/>
          <w:szCs w:val="24"/>
        </w:rPr>
        <w:t>exploring</w:t>
      </w:r>
      <w:r w:rsidR="008A01E0">
        <w:rPr>
          <w:rFonts w:cs="Times New Roman"/>
          <w:szCs w:val="24"/>
        </w:rPr>
        <w:t xml:space="preserve"> her afterlife</w:t>
      </w:r>
      <w:r w:rsidR="006852D4">
        <w:rPr>
          <w:rFonts w:cs="Times New Roman"/>
          <w:szCs w:val="24"/>
        </w:rPr>
        <w:t xml:space="preserve"> in terms of screen adaptations</w:t>
      </w:r>
      <w:r w:rsidR="008A01E0">
        <w:rPr>
          <w:rFonts w:cs="Times New Roman"/>
          <w:szCs w:val="24"/>
        </w:rPr>
        <w:t xml:space="preserve">, </w:t>
      </w:r>
      <w:r w:rsidR="000930C0">
        <w:rPr>
          <w:rFonts w:cs="Times New Roman"/>
          <w:szCs w:val="24"/>
        </w:rPr>
        <w:t xml:space="preserve">the </w:t>
      </w:r>
      <w:r w:rsidR="008A01E0">
        <w:rPr>
          <w:rFonts w:cs="Times New Roman"/>
          <w:szCs w:val="24"/>
        </w:rPr>
        <w:t>reception histories</w:t>
      </w:r>
      <w:r w:rsidR="000930C0">
        <w:rPr>
          <w:rFonts w:cs="Times New Roman"/>
          <w:szCs w:val="24"/>
        </w:rPr>
        <w:t xml:space="preserve"> of her novels,</w:t>
      </w:r>
      <w:r w:rsidR="008A01E0">
        <w:rPr>
          <w:rFonts w:cs="Times New Roman"/>
          <w:szCs w:val="24"/>
        </w:rPr>
        <w:t xml:space="preserve"> </w:t>
      </w:r>
      <w:r w:rsidR="006852D4">
        <w:rPr>
          <w:rFonts w:cs="Times New Roman"/>
          <w:szCs w:val="24"/>
        </w:rPr>
        <w:t xml:space="preserve">the heritage industry’s creation of ‘Brontë Country’, </w:t>
      </w:r>
      <w:r w:rsidR="008A01E0">
        <w:rPr>
          <w:rFonts w:cs="Times New Roman"/>
          <w:szCs w:val="24"/>
        </w:rPr>
        <w:t xml:space="preserve">and the evolution of critical approaches to her work. Key </w:t>
      </w:r>
      <w:r w:rsidR="00B25960">
        <w:rPr>
          <w:rFonts w:cs="Times New Roman"/>
          <w:szCs w:val="24"/>
        </w:rPr>
        <w:t>earlier works</w:t>
      </w:r>
      <w:r w:rsidR="008A01E0">
        <w:rPr>
          <w:rFonts w:cs="Times New Roman"/>
          <w:szCs w:val="24"/>
        </w:rPr>
        <w:t xml:space="preserve"> are Patsy Stoneman</w:t>
      </w:r>
      <w:r w:rsidR="00B25960">
        <w:rPr>
          <w:rFonts w:cs="Times New Roman"/>
          <w:szCs w:val="24"/>
        </w:rPr>
        <w:t>’s</w:t>
      </w:r>
      <w:r w:rsidR="008A01E0">
        <w:rPr>
          <w:rFonts w:cs="Times New Roman"/>
          <w:szCs w:val="24"/>
        </w:rPr>
        <w:t xml:space="preserve"> </w:t>
      </w:r>
      <w:r w:rsidR="008A01E0" w:rsidRPr="008A01E0">
        <w:rPr>
          <w:rFonts w:cs="Times New Roman"/>
          <w:i/>
          <w:szCs w:val="24"/>
        </w:rPr>
        <w:t>Brontë Transformations</w:t>
      </w:r>
      <w:r w:rsidR="008A01E0">
        <w:rPr>
          <w:rFonts w:cs="Times New Roman"/>
          <w:i/>
          <w:szCs w:val="24"/>
        </w:rPr>
        <w:t>:</w:t>
      </w:r>
      <w:r w:rsidR="00ED1D56">
        <w:rPr>
          <w:rFonts w:cs="Times New Roman"/>
          <w:i/>
          <w:szCs w:val="24"/>
        </w:rPr>
        <w:t xml:space="preserve"> The Cultural Dissemination of </w:t>
      </w:r>
      <w:r w:rsidR="00ED1D56">
        <w:rPr>
          <w:rFonts w:cs="Times New Roman"/>
          <w:szCs w:val="24"/>
        </w:rPr>
        <w:t>Jane Eyre</w:t>
      </w:r>
      <w:r w:rsidR="008A01E0">
        <w:rPr>
          <w:rFonts w:cs="Times New Roman"/>
          <w:i/>
          <w:szCs w:val="24"/>
        </w:rPr>
        <w:t xml:space="preserve"> and </w:t>
      </w:r>
      <w:r w:rsidR="00ED1D56">
        <w:rPr>
          <w:rFonts w:cs="Times New Roman"/>
          <w:szCs w:val="24"/>
        </w:rPr>
        <w:t>Wuthering Heights</w:t>
      </w:r>
      <w:r w:rsidR="008A01E0">
        <w:rPr>
          <w:rFonts w:cs="Times New Roman"/>
          <w:szCs w:val="24"/>
        </w:rPr>
        <w:t xml:space="preserve"> (1996)</w:t>
      </w:r>
      <w:r w:rsidR="00B25960">
        <w:rPr>
          <w:rFonts w:cs="Times New Roman"/>
          <w:szCs w:val="24"/>
        </w:rPr>
        <w:t xml:space="preserve"> and</w:t>
      </w:r>
      <w:r w:rsidR="008A01E0">
        <w:rPr>
          <w:rFonts w:cs="Times New Roman"/>
          <w:szCs w:val="24"/>
        </w:rPr>
        <w:t xml:space="preserve"> Lucasta Miller</w:t>
      </w:r>
      <w:r w:rsidR="00B25960">
        <w:rPr>
          <w:rFonts w:cs="Times New Roman"/>
          <w:szCs w:val="24"/>
        </w:rPr>
        <w:t>’s</w:t>
      </w:r>
      <w:r w:rsidR="008A01E0">
        <w:rPr>
          <w:rFonts w:cs="Times New Roman"/>
          <w:szCs w:val="24"/>
        </w:rPr>
        <w:t xml:space="preserve"> </w:t>
      </w:r>
      <w:r w:rsidR="008A01E0" w:rsidRPr="008A01E0">
        <w:rPr>
          <w:rFonts w:cs="Times New Roman"/>
          <w:i/>
          <w:szCs w:val="24"/>
        </w:rPr>
        <w:t>The Brontë Myth</w:t>
      </w:r>
      <w:r w:rsidR="008A01E0">
        <w:rPr>
          <w:rFonts w:cs="Times New Roman"/>
          <w:szCs w:val="24"/>
        </w:rPr>
        <w:t xml:space="preserve"> (2001)</w:t>
      </w:r>
      <w:r w:rsidR="00B25960">
        <w:rPr>
          <w:rFonts w:cs="Times New Roman"/>
          <w:szCs w:val="24"/>
        </w:rPr>
        <w:t>.</w:t>
      </w:r>
      <w:r w:rsidR="008A01E0">
        <w:rPr>
          <w:rFonts w:cs="Times New Roman"/>
          <w:szCs w:val="24"/>
        </w:rPr>
        <w:t xml:space="preserve"> </w:t>
      </w:r>
      <w:r w:rsidR="00B25960">
        <w:rPr>
          <w:rFonts w:cs="Times New Roman"/>
          <w:szCs w:val="24"/>
        </w:rPr>
        <w:t>M</w:t>
      </w:r>
      <w:r w:rsidR="008A01E0">
        <w:rPr>
          <w:rFonts w:cs="Times New Roman"/>
          <w:szCs w:val="24"/>
        </w:rPr>
        <w:t xml:space="preserve">ore recently </w:t>
      </w:r>
      <w:r w:rsidRPr="008A01E0">
        <w:rPr>
          <w:rFonts w:cs="Times New Roman"/>
          <w:szCs w:val="24"/>
        </w:rPr>
        <w:t>Cora Kaplan</w:t>
      </w:r>
      <w:r w:rsidR="008A01E0">
        <w:rPr>
          <w:rFonts w:cs="Times New Roman"/>
          <w:szCs w:val="24"/>
        </w:rPr>
        <w:t xml:space="preserve"> in </w:t>
      </w:r>
      <w:r w:rsidR="008A01E0">
        <w:rPr>
          <w:rFonts w:cs="Times New Roman"/>
          <w:i/>
          <w:szCs w:val="24"/>
        </w:rPr>
        <w:t>Victoriana: Histories, Fictions, Criticism</w:t>
      </w:r>
      <w:r w:rsidR="008A01E0">
        <w:rPr>
          <w:rFonts w:cs="Times New Roman"/>
          <w:szCs w:val="24"/>
        </w:rPr>
        <w:t xml:space="preserve"> (2007) </w:t>
      </w:r>
      <w:r w:rsidR="00B25960">
        <w:rPr>
          <w:rFonts w:cs="Times New Roman"/>
          <w:szCs w:val="24"/>
        </w:rPr>
        <w:t>presents</w:t>
      </w:r>
      <w:r w:rsidR="000930C0">
        <w:rPr>
          <w:rFonts w:cs="Times New Roman"/>
          <w:szCs w:val="24"/>
        </w:rPr>
        <w:t xml:space="preserve"> an insightful </w:t>
      </w:r>
      <w:r w:rsidR="008A01E0">
        <w:rPr>
          <w:rFonts w:cs="Times New Roman"/>
          <w:szCs w:val="24"/>
        </w:rPr>
        <w:t xml:space="preserve">chapter on </w:t>
      </w:r>
      <w:r w:rsidR="000930C0">
        <w:rPr>
          <w:rFonts w:cs="Times New Roman"/>
          <w:szCs w:val="24"/>
        </w:rPr>
        <w:t xml:space="preserve">the development of </w:t>
      </w:r>
      <w:r w:rsidR="008A01E0">
        <w:rPr>
          <w:rFonts w:cs="Times New Roman"/>
          <w:szCs w:val="24"/>
        </w:rPr>
        <w:t xml:space="preserve">critical responses to </w:t>
      </w:r>
      <w:r w:rsidR="008A01E0">
        <w:rPr>
          <w:rFonts w:cs="Times New Roman"/>
          <w:i/>
          <w:szCs w:val="24"/>
        </w:rPr>
        <w:t>Jane Eyre</w:t>
      </w:r>
      <w:r w:rsidR="008A01E0">
        <w:rPr>
          <w:rFonts w:cs="Times New Roman"/>
          <w:szCs w:val="24"/>
        </w:rPr>
        <w:t>. Kaplan argues that critics have allow</w:t>
      </w:r>
      <w:r w:rsidR="00AF4517">
        <w:rPr>
          <w:rFonts w:cs="Times New Roman"/>
          <w:szCs w:val="24"/>
        </w:rPr>
        <w:t>ed</w:t>
      </w:r>
      <w:r w:rsidR="008A01E0">
        <w:rPr>
          <w:rFonts w:cs="Times New Roman"/>
          <w:szCs w:val="24"/>
        </w:rPr>
        <w:t xml:space="preserve"> </w:t>
      </w:r>
      <w:r w:rsidR="00D43F63">
        <w:rPr>
          <w:rFonts w:cs="Times New Roman"/>
          <w:szCs w:val="24"/>
        </w:rPr>
        <w:t>‘</w:t>
      </w:r>
      <w:r w:rsidR="008A01E0">
        <w:rPr>
          <w:rFonts w:cs="Times New Roman"/>
          <w:szCs w:val="24"/>
        </w:rPr>
        <w:t>present anxieties about the late twentieth-century politics of feminist cultural analysis to become displaced onto the historical text’ (25)</w:t>
      </w:r>
      <w:r w:rsidR="00B25960">
        <w:rPr>
          <w:rFonts w:cs="Times New Roman"/>
          <w:szCs w:val="24"/>
        </w:rPr>
        <w:t>,</w:t>
      </w:r>
      <w:r w:rsidR="008A01E0">
        <w:rPr>
          <w:rFonts w:cs="Times New Roman"/>
          <w:szCs w:val="24"/>
        </w:rPr>
        <w:t xml:space="preserve"> </w:t>
      </w:r>
      <w:r w:rsidR="00B25960">
        <w:rPr>
          <w:rFonts w:cs="Times New Roman"/>
          <w:szCs w:val="24"/>
        </w:rPr>
        <w:t xml:space="preserve">an </w:t>
      </w:r>
      <w:r w:rsidR="008A01E0">
        <w:rPr>
          <w:rFonts w:cs="Times New Roman"/>
          <w:szCs w:val="24"/>
        </w:rPr>
        <w:t xml:space="preserve">approach </w:t>
      </w:r>
      <w:r w:rsidR="00B25960">
        <w:rPr>
          <w:rFonts w:cs="Times New Roman"/>
          <w:szCs w:val="24"/>
        </w:rPr>
        <w:t xml:space="preserve">which </w:t>
      </w:r>
      <w:r w:rsidR="008A01E0">
        <w:rPr>
          <w:rFonts w:cs="Times New Roman"/>
          <w:szCs w:val="24"/>
        </w:rPr>
        <w:t xml:space="preserve">has led to </w:t>
      </w:r>
      <w:r w:rsidR="000930C0">
        <w:rPr>
          <w:rFonts w:cs="Times New Roman"/>
          <w:szCs w:val="24"/>
        </w:rPr>
        <w:t>Brontë’s</w:t>
      </w:r>
      <w:r w:rsidR="008A01E0">
        <w:rPr>
          <w:rFonts w:cs="Times New Roman"/>
          <w:szCs w:val="24"/>
        </w:rPr>
        <w:t xml:space="preserve"> novel functioning as a controversial and contested site </w:t>
      </w:r>
      <w:r w:rsidR="00B25960">
        <w:rPr>
          <w:rFonts w:cs="Times New Roman"/>
          <w:szCs w:val="24"/>
        </w:rPr>
        <w:t xml:space="preserve">through which </w:t>
      </w:r>
      <w:r w:rsidR="008A01E0">
        <w:rPr>
          <w:rFonts w:cs="Times New Roman"/>
          <w:szCs w:val="24"/>
        </w:rPr>
        <w:t xml:space="preserve">is </w:t>
      </w:r>
      <w:r w:rsidR="000930C0">
        <w:rPr>
          <w:rFonts w:cs="Times New Roman"/>
          <w:szCs w:val="24"/>
        </w:rPr>
        <w:t xml:space="preserve"> develop</w:t>
      </w:r>
      <w:r w:rsidR="00B25960">
        <w:rPr>
          <w:rFonts w:cs="Times New Roman"/>
          <w:szCs w:val="24"/>
        </w:rPr>
        <w:t>ed</w:t>
      </w:r>
      <w:r w:rsidR="006276BB">
        <w:rPr>
          <w:rFonts w:cs="Times New Roman"/>
          <w:szCs w:val="24"/>
        </w:rPr>
        <w:t xml:space="preserve"> </w:t>
      </w:r>
      <w:r w:rsidR="008A01E0">
        <w:rPr>
          <w:rFonts w:cs="Times New Roman"/>
          <w:szCs w:val="24"/>
        </w:rPr>
        <w:t xml:space="preserve">a ‘bulging archive’ of ‘creative reminiscences’ (which Kaplan terms ‘Victoriana’) </w:t>
      </w:r>
      <w:r w:rsidR="006852D4">
        <w:rPr>
          <w:rFonts w:cs="Times New Roman"/>
          <w:szCs w:val="24"/>
        </w:rPr>
        <w:t xml:space="preserve">in the form </w:t>
      </w:r>
      <w:r w:rsidR="008A01E0">
        <w:rPr>
          <w:rFonts w:cs="Times New Roman"/>
          <w:szCs w:val="24"/>
        </w:rPr>
        <w:t>of contemporary ‘</w:t>
      </w:r>
      <w:r w:rsidR="008A01E0">
        <w:rPr>
          <w:rFonts w:cs="Times New Roman"/>
          <w:i/>
          <w:szCs w:val="24"/>
        </w:rPr>
        <w:t>Jane Eyre</w:t>
      </w:r>
      <w:r w:rsidR="008A01E0">
        <w:rPr>
          <w:rFonts w:cs="Times New Roman"/>
          <w:szCs w:val="24"/>
        </w:rPr>
        <w:t xml:space="preserve"> spin-offs: imitation, prequel, sequel, adaptation and pastiche’ (31).</w:t>
      </w:r>
      <w:r w:rsidR="00192E0F">
        <w:rPr>
          <w:rFonts w:cs="Times New Roman"/>
          <w:szCs w:val="24"/>
        </w:rPr>
        <w:t xml:space="preserve"> </w:t>
      </w:r>
      <w:r w:rsidR="00704E4B">
        <w:rPr>
          <w:rFonts w:cs="Times New Roman"/>
          <w:szCs w:val="24"/>
        </w:rPr>
        <w:t>Similar constructive</w:t>
      </w:r>
      <w:r w:rsidR="00F13A62">
        <w:rPr>
          <w:rFonts w:cs="Times New Roman"/>
          <w:szCs w:val="24"/>
        </w:rPr>
        <w:t xml:space="preserve"> ways of thinking about Brontë’s legacy </w:t>
      </w:r>
      <w:r w:rsidR="00D24613">
        <w:rPr>
          <w:rFonts w:cs="Times New Roman"/>
          <w:szCs w:val="24"/>
        </w:rPr>
        <w:t>have resulted in</w:t>
      </w:r>
      <w:r w:rsidR="00F13A62">
        <w:rPr>
          <w:rFonts w:cs="Times New Roman"/>
          <w:szCs w:val="24"/>
        </w:rPr>
        <w:t xml:space="preserve"> discussions of </w:t>
      </w:r>
      <w:r w:rsidR="00B25960">
        <w:rPr>
          <w:rFonts w:cs="Times New Roman"/>
          <w:szCs w:val="24"/>
        </w:rPr>
        <w:t xml:space="preserve">the numerous </w:t>
      </w:r>
      <w:r w:rsidR="00F13A62" w:rsidRPr="000A67DA">
        <w:rPr>
          <w:rFonts w:cs="Times New Roman"/>
          <w:szCs w:val="24"/>
        </w:rPr>
        <w:t>f</w:t>
      </w:r>
      <w:r w:rsidR="002D50F7" w:rsidRPr="000A67DA">
        <w:rPr>
          <w:rFonts w:cs="Times New Roman"/>
          <w:szCs w:val="24"/>
        </w:rPr>
        <w:t>ilm adaptations</w:t>
      </w:r>
      <w:r w:rsidR="00F13A62" w:rsidRPr="000A67DA">
        <w:rPr>
          <w:rFonts w:cs="Times New Roman"/>
          <w:szCs w:val="24"/>
        </w:rPr>
        <w:t xml:space="preserve"> of </w:t>
      </w:r>
      <w:r w:rsidR="000A67DA" w:rsidRPr="000A67DA">
        <w:rPr>
          <w:rFonts w:cs="Times New Roman"/>
          <w:i/>
          <w:szCs w:val="24"/>
        </w:rPr>
        <w:t>Jane Eyre</w:t>
      </w:r>
      <w:r w:rsidR="006852D4">
        <w:rPr>
          <w:rFonts w:cs="Times New Roman"/>
          <w:szCs w:val="24"/>
        </w:rPr>
        <w:t>, including</w:t>
      </w:r>
      <w:r w:rsidR="00D24613">
        <w:rPr>
          <w:rFonts w:cs="Times New Roman"/>
          <w:szCs w:val="24"/>
        </w:rPr>
        <w:t xml:space="preserve"> </w:t>
      </w:r>
      <w:r w:rsidR="000A67DA" w:rsidRPr="000A67DA">
        <w:rPr>
          <w:rFonts w:cs="Times New Roman"/>
          <w:szCs w:val="24"/>
        </w:rPr>
        <w:t xml:space="preserve">Margarete Rubik and Elke Mettinge-Scartmann’s edited collection </w:t>
      </w:r>
      <w:r w:rsidR="000A67DA" w:rsidRPr="000A67DA">
        <w:rPr>
          <w:rFonts w:cs="Times New Roman"/>
          <w:i/>
          <w:szCs w:val="24"/>
        </w:rPr>
        <w:t xml:space="preserve">A Breath of Fresh Eyre: Intertextual and Intermedial Reworkings of </w:t>
      </w:r>
      <w:r w:rsidR="000A67DA" w:rsidRPr="000A67DA">
        <w:rPr>
          <w:rFonts w:cs="Times New Roman"/>
          <w:szCs w:val="24"/>
        </w:rPr>
        <w:t xml:space="preserve">Jane Eyre </w:t>
      </w:r>
      <w:r w:rsidR="000A67DA">
        <w:rPr>
          <w:rFonts w:cs="Times New Roman"/>
          <w:szCs w:val="24"/>
        </w:rPr>
        <w:t xml:space="preserve">(2007); </w:t>
      </w:r>
      <w:r w:rsidR="002D50F7" w:rsidRPr="000A67DA">
        <w:rPr>
          <w:rFonts w:cs="Times New Roman"/>
          <w:szCs w:val="24"/>
        </w:rPr>
        <w:t xml:space="preserve">Liora Brosh, </w:t>
      </w:r>
      <w:r w:rsidR="002D50F7" w:rsidRPr="000A67DA">
        <w:rPr>
          <w:rFonts w:cs="Times New Roman"/>
          <w:i/>
          <w:szCs w:val="24"/>
        </w:rPr>
        <w:t>Screening Novel Women: From British Domestic Fiction to Film</w:t>
      </w:r>
      <w:r w:rsidR="000A67DA">
        <w:rPr>
          <w:rFonts w:cs="Times New Roman"/>
          <w:szCs w:val="24"/>
        </w:rPr>
        <w:t xml:space="preserve"> (</w:t>
      </w:r>
      <w:r w:rsidR="002D50F7" w:rsidRPr="000A67DA">
        <w:rPr>
          <w:rFonts w:cs="Times New Roman"/>
          <w:szCs w:val="24"/>
        </w:rPr>
        <w:t>2008)</w:t>
      </w:r>
      <w:r w:rsidR="00F13A62" w:rsidRPr="000A67DA">
        <w:rPr>
          <w:rFonts w:cs="Times New Roman"/>
          <w:szCs w:val="24"/>
        </w:rPr>
        <w:t xml:space="preserve">; </w:t>
      </w:r>
      <w:r w:rsidR="000A67DA">
        <w:rPr>
          <w:rFonts w:cs="Times New Roman"/>
          <w:szCs w:val="24"/>
        </w:rPr>
        <w:t xml:space="preserve">and </w:t>
      </w:r>
      <w:r w:rsidR="00F13A62" w:rsidRPr="000A67DA">
        <w:rPr>
          <w:rFonts w:cs="Times New Roman"/>
          <w:szCs w:val="24"/>
        </w:rPr>
        <w:t xml:space="preserve">Heta Pyrhȍnen, </w:t>
      </w:r>
      <w:r w:rsidR="00F13A62" w:rsidRPr="000A67DA">
        <w:rPr>
          <w:rFonts w:cs="Times New Roman"/>
          <w:i/>
          <w:szCs w:val="24"/>
        </w:rPr>
        <w:t xml:space="preserve">Bluebeard Gothic: </w:t>
      </w:r>
      <w:r w:rsidR="00F13A62" w:rsidRPr="000A67DA">
        <w:rPr>
          <w:rFonts w:cs="Times New Roman"/>
          <w:szCs w:val="24"/>
        </w:rPr>
        <w:t xml:space="preserve">Jane Eyre </w:t>
      </w:r>
      <w:r w:rsidR="00F13A62" w:rsidRPr="000A67DA">
        <w:rPr>
          <w:rFonts w:cs="Times New Roman"/>
          <w:i/>
          <w:szCs w:val="24"/>
        </w:rPr>
        <w:t>and Her Progeny</w:t>
      </w:r>
      <w:r w:rsidR="00F13A62" w:rsidRPr="000A67DA">
        <w:rPr>
          <w:rFonts w:cs="Times New Roman"/>
          <w:szCs w:val="24"/>
        </w:rPr>
        <w:t xml:space="preserve"> (2010)</w:t>
      </w:r>
      <w:r w:rsidR="000A67DA">
        <w:rPr>
          <w:rFonts w:cs="Times New Roman"/>
          <w:szCs w:val="24"/>
        </w:rPr>
        <w:t xml:space="preserve">. </w:t>
      </w:r>
      <w:r w:rsidR="00B25960">
        <w:rPr>
          <w:rFonts w:cs="Times New Roman"/>
          <w:szCs w:val="24"/>
        </w:rPr>
        <w:t>However, t</w:t>
      </w:r>
      <w:r w:rsidR="001920BA" w:rsidRPr="00D43F63">
        <w:rPr>
          <w:rFonts w:cs="Times New Roman"/>
          <w:szCs w:val="24"/>
        </w:rPr>
        <w:t>he</w:t>
      </w:r>
      <w:r w:rsidR="001920BA">
        <w:rPr>
          <w:rFonts w:cs="Times New Roman"/>
          <w:szCs w:val="24"/>
        </w:rPr>
        <w:t xml:space="preserve"> issue of why there have been so many film versions of </w:t>
      </w:r>
      <w:r w:rsidR="001920BA">
        <w:rPr>
          <w:rFonts w:cs="Times New Roman"/>
          <w:i/>
          <w:szCs w:val="24"/>
        </w:rPr>
        <w:t>Jane Eyre</w:t>
      </w:r>
      <w:r w:rsidR="001920BA">
        <w:rPr>
          <w:rFonts w:cs="Times New Roman"/>
          <w:szCs w:val="24"/>
        </w:rPr>
        <w:t xml:space="preserve"> and hardly any of Brontë’s other novels </w:t>
      </w:r>
      <w:r w:rsidR="00B25960">
        <w:rPr>
          <w:rFonts w:cs="Times New Roman"/>
          <w:szCs w:val="24"/>
        </w:rPr>
        <w:t>still needs to be</w:t>
      </w:r>
      <w:r w:rsidR="001920BA">
        <w:rPr>
          <w:rFonts w:cs="Times New Roman"/>
          <w:szCs w:val="24"/>
        </w:rPr>
        <w:t xml:space="preserve"> satisfactorily explained.</w:t>
      </w:r>
      <w:r w:rsidR="00B25960">
        <w:rPr>
          <w:rFonts w:cs="Times New Roman"/>
          <w:szCs w:val="24"/>
        </w:rPr>
        <w:t xml:space="preserve"> Studies</w:t>
      </w:r>
      <w:r w:rsidR="00D43F63">
        <w:rPr>
          <w:rFonts w:cs="Times New Roman"/>
          <w:szCs w:val="24"/>
        </w:rPr>
        <w:t xml:space="preserve"> of neo-Victorian rewritings of Brontë’s work</w:t>
      </w:r>
      <w:r w:rsidR="00B25960">
        <w:rPr>
          <w:rFonts w:cs="Times New Roman"/>
          <w:szCs w:val="24"/>
        </w:rPr>
        <w:t xml:space="preserve"> constitute a burgeoning area and </w:t>
      </w:r>
      <w:r w:rsidR="00D43F63">
        <w:rPr>
          <w:rFonts w:cs="Times New Roman"/>
          <w:szCs w:val="24"/>
        </w:rPr>
        <w:t xml:space="preserve">Andrea Kirchknopf has </w:t>
      </w:r>
      <w:r w:rsidR="00B25960">
        <w:rPr>
          <w:rFonts w:cs="Times New Roman"/>
          <w:szCs w:val="24"/>
        </w:rPr>
        <w:t>an exemplary</w:t>
      </w:r>
      <w:r w:rsidR="00D43F63">
        <w:rPr>
          <w:rFonts w:cs="Times New Roman"/>
          <w:szCs w:val="24"/>
        </w:rPr>
        <w:t xml:space="preserve"> chapter in her book, </w:t>
      </w:r>
      <w:r w:rsidR="00D43F63">
        <w:rPr>
          <w:rFonts w:cs="Times New Roman"/>
          <w:i/>
          <w:szCs w:val="24"/>
        </w:rPr>
        <w:t xml:space="preserve">Rewriting the Victorians: Modes of Literary Engagement with the </w:t>
      </w:r>
      <w:r w:rsidR="00D43F63" w:rsidRPr="00D43F63">
        <w:rPr>
          <w:rFonts w:cs="Times New Roman"/>
          <w:i/>
          <w:szCs w:val="24"/>
        </w:rPr>
        <w:t>19</w:t>
      </w:r>
      <w:r w:rsidR="00D43F63" w:rsidRPr="009E69C2">
        <w:rPr>
          <w:rFonts w:cs="Times New Roman"/>
          <w:i/>
          <w:szCs w:val="24"/>
          <w:vertAlign w:val="superscript"/>
        </w:rPr>
        <w:t>th</w:t>
      </w:r>
      <w:r w:rsidR="00D43F63" w:rsidRPr="00D43F63">
        <w:rPr>
          <w:rFonts w:cs="Times New Roman"/>
          <w:i/>
          <w:szCs w:val="24"/>
        </w:rPr>
        <w:t xml:space="preserve"> Century</w:t>
      </w:r>
      <w:r w:rsidR="009D4AEA">
        <w:rPr>
          <w:rFonts w:cs="Times New Roman"/>
          <w:szCs w:val="24"/>
        </w:rPr>
        <w:t xml:space="preserve"> (2013</w:t>
      </w:r>
      <w:r w:rsidR="00D43F63">
        <w:rPr>
          <w:rFonts w:cs="Times New Roman"/>
          <w:szCs w:val="24"/>
        </w:rPr>
        <w:t xml:space="preserve">). </w:t>
      </w:r>
      <w:r w:rsidR="00B25960">
        <w:rPr>
          <w:rFonts w:cs="Times New Roman"/>
          <w:szCs w:val="24"/>
        </w:rPr>
        <w:t>Her</w:t>
      </w:r>
      <w:r w:rsidR="00D43F63">
        <w:rPr>
          <w:rFonts w:cs="Times New Roman"/>
          <w:szCs w:val="24"/>
        </w:rPr>
        <w:t xml:space="preserve"> persuasive reading of the ‘adaptive chain’</w:t>
      </w:r>
      <w:r w:rsidR="001920BA">
        <w:rPr>
          <w:rFonts w:cs="Times New Roman"/>
          <w:szCs w:val="24"/>
        </w:rPr>
        <w:t xml:space="preserve"> </w:t>
      </w:r>
      <w:r w:rsidR="006276BB">
        <w:rPr>
          <w:rFonts w:cs="Times New Roman"/>
          <w:szCs w:val="24"/>
        </w:rPr>
        <w:t xml:space="preserve">(107) </w:t>
      </w:r>
      <w:r w:rsidR="001920BA">
        <w:rPr>
          <w:rFonts w:cs="Times New Roman"/>
          <w:szCs w:val="24"/>
        </w:rPr>
        <w:t>linking</w:t>
      </w:r>
      <w:r w:rsidR="00D43F63">
        <w:rPr>
          <w:rFonts w:cs="Times New Roman"/>
          <w:szCs w:val="24"/>
        </w:rPr>
        <w:t xml:space="preserve"> </w:t>
      </w:r>
      <w:r w:rsidR="00D43F63">
        <w:rPr>
          <w:rFonts w:cs="Times New Roman"/>
          <w:i/>
          <w:szCs w:val="24"/>
        </w:rPr>
        <w:t>Jane Eyre</w:t>
      </w:r>
      <w:r w:rsidR="00D43F63">
        <w:rPr>
          <w:rFonts w:cs="Times New Roman"/>
          <w:szCs w:val="24"/>
        </w:rPr>
        <w:t>, Jean Rhys’s</w:t>
      </w:r>
      <w:r w:rsidR="00D43F63">
        <w:rPr>
          <w:rFonts w:cs="Times New Roman"/>
          <w:i/>
          <w:szCs w:val="24"/>
        </w:rPr>
        <w:t xml:space="preserve"> Wide Sargasso Sea </w:t>
      </w:r>
      <w:r w:rsidR="00D43F63">
        <w:rPr>
          <w:rFonts w:cs="Times New Roman"/>
          <w:szCs w:val="24"/>
        </w:rPr>
        <w:t xml:space="preserve">(1966) and D.M. Thomas’s </w:t>
      </w:r>
      <w:r w:rsidR="00D43F63">
        <w:rPr>
          <w:rFonts w:cs="Times New Roman"/>
          <w:i/>
          <w:szCs w:val="24"/>
        </w:rPr>
        <w:t xml:space="preserve">Charlotte </w:t>
      </w:r>
      <w:r w:rsidR="00D43F63">
        <w:rPr>
          <w:rFonts w:cs="Times New Roman"/>
          <w:szCs w:val="24"/>
        </w:rPr>
        <w:t>(2000)</w:t>
      </w:r>
      <w:r w:rsidR="001920BA">
        <w:rPr>
          <w:rFonts w:cs="Times New Roman"/>
          <w:szCs w:val="24"/>
        </w:rPr>
        <w:t xml:space="preserve"> </w:t>
      </w:r>
      <w:r w:rsidR="00B25960">
        <w:rPr>
          <w:rFonts w:cs="Times New Roman"/>
          <w:szCs w:val="24"/>
        </w:rPr>
        <w:t>demonstrates the complexity of the novel’s cultural legacy</w:t>
      </w:r>
      <w:r w:rsidR="001920BA">
        <w:rPr>
          <w:rFonts w:cs="Times New Roman"/>
          <w:szCs w:val="24"/>
        </w:rPr>
        <w:t xml:space="preserve">. </w:t>
      </w:r>
    </w:p>
    <w:p w:rsidR="00BA5814" w:rsidRPr="002426EB" w:rsidRDefault="00192E0F" w:rsidP="00775AED">
      <w:pPr>
        <w:spacing w:line="360" w:lineRule="auto"/>
        <w:jc w:val="both"/>
        <w:rPr>
          <w:rFonts w:cs="Times New Roman"/>
          <w:szCs w:val="24"/>
        </w:rPr>
      </w:pPr>
      <w:r>
        <w:rPr>
          <w:rFonts w:cs="Times New Roman"/>
          <w:szCs w:val="24"/>
        </w:rPr>
        <w:tab/>
        <w:t xml:space="preserve">The theatre has </w:t>
      </w:r>
      <w:r w:rsidR="00CA6935">
        <w:rPr>
          <w:rFonts w:cs="Times New Roman"/>
          <w:szCs w:val="24"/>
        </w:rPr>
        <w:t xml:space="preserve">had </w:t>
      </w:r>
      <w:r>
        <w:rPr>
          <w:rFonts w:cs="Times New Roman"/>
          <w:szCs w:val="24"/>
        </w:rPr>
        <w:t>a</w:t>
      </w:r>
      <w:r w:rsidR="000A67DA">
        <w:rPr>
          <w:rFonts w:cs="Times New Roman"/>
          <w:szCs w:val="24"/>
        </w:rPr>
        <w:t>n even</w:t>
      </w:r>
      <w:r>
        <w:rPr>
          <w:rFonts w:cs="Times New Roman"/>
          <w:szCs w:val="24"/>
        </w:rPr>
        <w:t xml:space="preserve"> long</w:t>
      </w:r>
      <w:r w:rsidR="000A67DA">
        <w:rPr>
          <w:rFonts w:cs="Times New Roman"/>
          <w:szCs w:val="24"/>
        </w:rPr>
        <w:t>er</w:t>
      </w:r>
      <w:r>
        <w:rPr>
          <w:rFonts w:cs="Times New Roman"/>
          <w:szCs w:val="24"/>
        </w:rPr>
        <w:t xml:space="preserve"> history of adapting Charlotte Brontë’s life and work, as Stoneman’s </w:t>
      </w:r>
      <w:r>
        <w:rPr>
          <w:rFonts w:cs="Times New Roman"/>
          <w:i/>
          <w:szCs w:val="24"/>
        </w:rPr>
        <w:t>Jane Eyre on Stage, 1848-1898</w:t>
      </w:r>
      <w:r>
        <w:rPr>
          <w:rFonts w:cs="Times New Roman"/>
          <w:szCs w:val="24"/>
        </w:rPr>
        <w:t xml:space="preserve"> (2007)</w:t>
      </w:r>
      <w:r w:rsidR="00023D49">
        <w:rPr>
          <w:rFonts w:cs="Times New Roman"/>
          <w:szCs w:val="24"/>
        </w:rPr>
        <w:t>, an edition of eight plays based on the novel,</w:t>
      </w:r>
      <w:r>
        <w:rPr>
          <w:rFonts w:cs="Times New Roman"/>
          <w:szCs w:val="24"/>
        </w:rPr>
        <w:t xml:space="preserve"> and Benjamin Poore’s </w:t>
      </w:r>
      <w:r>
        <w:rPr>
          <w:rFonts w:cs="Times New Roman"/>
          <w:i/>
          <w:szCs w:val="24"/>
        </w:rPr>
        <w:t xml:space="preserve">Heritage, Nostalgia and Modern British Theatre: Staging the </w:t>
      </w:r>
      <w:r>
        <w:rPr>
          <w:rFonts w:cs="Times New Roman"/>
          <w:i/>
          <w:szCs w:val="24"/>
        </w:rPr>
        <w:lastRenderedPageBreak/>
        <w:t xml:space="preserve">Victorians </w:t>
      </w:r>
      <w:r>
        <w:rPr>
          <w:rFonts w:cs="Times New Roman"/>
          <w:szCs w:val="24"/>
        </w:rPr>
        <w:t xml:space="preserve">(2012) indicate. Poore’s chapter, ‘Staging the Brontës’ considers how stage adaptations and biodramas blur the distinction between </w:t>
      </w:r>
      <w:r w:rsidR="00081FB9">
        <w:rPr>
          <w:rFonts w:cs="Times New Roman"/>
          <w:szCs w:val="24"/>
        </w:rPr>
        <w:t>the author</w:t>
      </w:r>
      <w:r w:rsidR="005250F9">
        <w:rPr>
          <w:rFonts w:cs="Times New Roman"/>
          <w:szCs w:val="24"/>
        </w:rPr>
        <w:t xml:space="preserve"> and her heroines, </w:t>
      </w:r>
      <w:r w:rsidR="00CA6935">
        <w:rPr>
          <w:rFonts w:cs="Times New Roman"/>
          <w:szCs w:val="24"/>
        </w:rPr>
        <w:t xml:space="preserve">often </w:t>
      </w:r>
      <w:r w:rsidR="00081FB9">
        <w:rPr>
          <w:rFonts w:cs="Times New Roman"/>
          <w:szCs w:val="24"/>
        </w:rPr>
        <w:t>undermining C</w:t>
      </w:r>
      <w:r w:rsidR="00D24613">
        <w:rPr>
          <w:rFonts w:cs="Times New Roman"/>
          <w:szCs w:val="24"/>
        </w:rPr>
        <w:t>harlotte Brontë’s achievements</w:t>
      </w:r>
      <w:r w:rsidR="00CA6935">
        <w:rPr>
          <w:rFonts w:cs="Times New Roman"/>
          <w:szCs w:val="24"/>
        </w:rPr>
        <w:t xml:space="preserve"> as</w:t>
      </w:r>
      <w:r w:rsidR="006276BB">
        <w:rPr>
          <w:rFonts w:cs="Times New Roman"/>
          <w:szCs w:val="24"/>
        </w:rPr>
        <w:t xml:space="preserve"> </w:t>
      </w:r>
      <w:r w:rsidR="00CA6935">
        <w:rPr>
          <w:rFonts w:cs="Times New Roman"/>
          <w:szCs w:val="24"/>
        </w:rPr>
        <w:t>t</w:t>
      </w:r>
      <w:r w:rsidR="005250F9">
        <w:rPr>
          <w:rFonts w:cs="Times New Roman"/>
          <w:szCs w:val="24"/>
        </w:rPr>
        <w:t xml:space="preserve">hey </w:t>
      </w:r>
      <w:r>
        <w:rPr>
          <w:rFonts w:cs="Times New Roman"/>
          <w:szCs w:val="24"/>
        </w:rPr>
        <w:t xml:space="preserve"> offer up ‘a proliferation of Charlotte-as-Lucy, Charlotte-as-Jane, Jane-as-Charlotte, novel as autobiography hybrids’ (128). </w:t>
      </w:r>
      <w:r w:rsidR="006C21CB">
        <w:rPr>
          <w:rFonts w:cs="Times New Roman"/>
          <w:szCs w:val="24"/>
        </w:rPr>
        <w:t xml:space="preserve">Discussing a range of contemporary stage versions of </w:t>
      </w:r>
      <w:r w:rsidR="006C21CB">
        <w:rPr>
          <w:rFonts w:cs="Times New Roman"/>
          <w:i/>
          <w:szCs w:val="24"/>
        </w:rPr>
        <w:t>Jane Eyre</w:t>
      </w:r>
      <w:r w:rsidR="006C21CB">
        <w:rPr>
          <w:rFonts w:cs="Times New Roman"/>
          <w:szCs w:val="24"/>
        </w:rPr>
        <w:t xml:space="preserve">, Poore </w:t>
      </w:r>
      <w:r w:rsidR="00FE03E0">
        <w:rPr>
          <w:rFonts w:cs="Times New Roman"/>
          <w:szCs w:val="24"/>
        </w:rPr>
        <w:t>sees them as under</w:t>
      </w:r>
      <w:r w:rsidR="006C21CB">
        <w:rPr>
          <w:rFonts w:cs="Times New Roman"/>
          <w:szCs w:val="24"/>
        </w:rPr>
        <w:t xml:space="preserve"> the influence of </w:t>
      </w:r>
      <w:r w:rsidR="00FE03E0">
        <w:rPr>
          <w:rFonts w:cs="Times New Roman"/>
          <w:szCs w:val="24"/>
        </w:rPr>
        <w:t xml:space="preserve">earlier </w:t>
      </w:r>
      <w:r w:rsidR="006C21CB">
        <w:rPr>
          <w:rFonts w:cs="Times New Roman"/>
          <w:szCs w:val="24"/>
        </w:rPr>
        <w:t xml:space="preserve">feminist and postcolonial readings of the novel </w:t>
      </w:r>
      <w:r w:rsidR="00FE03E0">
        <w:rPr>
          <w:rFonts w:cs="Times New Roman"/>
          <w:szCs w:val="24"/>
        </w:rPr>
        <w:t>which saw</w:t>
      </w:r>
      <w:r w:rsidR="00023D49">
        <w:rPr>
          <w:rFonts w:cs="Times New Roman"/>
          <w:szCs w:val="24"/>
        </w:rPr>
        <w:t xml:space="preserve"> Bertha as Jane’s double and/ or the colonised other: he explains that </w:t>
      </w:r>
      <w:r w:rsidR="006C21CB">
        <w:rPr>
          <w:rFonts w:cs="Times New Roman"/>
          <w:szCs w:val="24"/>
        </w:rPr>
        <w:t xml:space="preserve">‘Jane Eyre is no longer considered sufficiently sympathetic alone, without the presence of Bertha’ (144). While </w:t>
      </w:r>
      <w:r w:rsidR="00D24613">
        <w:rPr>
          <w:rFonts w:cs="Times New Roman"/>
          <w:szCs w:val="24"/>
        </w:rPr>
        <w:t xml:space="preserve">this </w:t>
      </w:r>
      <w:r w:rsidR="00023D49">
        <w:rPr>
          <w:rFonts w:cs="Times New Roman"/>
          <w:szCs w:val="24"/>
        </w:rPr>
        <w:t>might seem</w:t>
      </w:r>
      <w:r w:rsidR="006C21CB">
        <w:rPr>
          <w:rFonts w:cs="Times New Roman"/>
          <w:szCs w:val="24"/>
        </w:rPr>
        <w:t xml:space="preserve"> a radical move on the part of adaptors, </w:t>
      </w:r>
      <w:r w:rsidR="006276BB">
        <w:rPr>
          <w:rFonts w:cs="Times New Roman"/>
          <w:szCs w:val="24"/>
        </w:rPr>
        <w:t>Poore argues that this view</w:t>
      </w:r>
      <w:r w:rsidR="006C21CB">
        <w:rPr>
          <w:rFonts w:cs="Times New Roman"/>
          <w:szCs w:val="24"/>
        </w:rPr>
        <w:t xml:space="preserve"> is illusory, for Bertha is </w:t>
      </w:r>
      <w:r w:rsidR="00023D49">
        <w:rPr>
          <w:rFonts w:cs="Times New Roman"/>
          <w:szCs w:val="24"/>
        </w:rPr>
        <w:t xml:space="preserve">merely </w:t>
      </w:r>
      <w:r w:rsidR="006C21CB">
        <w:rPr>
          <w:rFonts w:cs="Times New Roman"/>
          <w:szCs w:val="24"/>
        </w:rPr>
        <w:t xml:space="preserve">‘reduced’ </w:t>
      </w:r>
      <w:r w:rsidR="00023D49">
        <w:rPr>
          <w:rFonts w:cs="Times New Roman"/>
          <w:szCs w:val="24"/>
        </w:rPr>
        <w:t xml:space="preserve">in these adaptations </w:t>
      </w:r>
      <w:r w:rsidR="006C21CB">
        <w:rPr>
          <w:rFonts w:cs="Times New Roman"/>
          <w:szCs w:val="24"/>
        </w:rPr>
        <w:t>to becoming ‘a permanent Edward Hyde’ to Jane’s Dr Jekyll (138).</w:t>
      </w:r>
      <w:r w:rsidR="008E5CE0">
        <w:rPr>
          <w:rFonts w:cs="Times New Roman"/>
          <w:szCs w:val="24"/>
        </w:rPr>
        <w:t xml:space="preserve"> Poore has also written a </w:t>
      </w:r>
      <w:r w:rsidR="00CA6935">
        <w:rPr>
          <w:rFonts w:cs="Times New Roman"/>
          <w:szCs w:val="24"/>
        </w:rPr>
        <w:t xml:space="preserve">valuable </w:t>
      </w:r>
      <w:r w:rsidR="008E5CE0">
        <w:rPr>
          <w:rFonts w:cs="Times New Roman"/>
          <w:szCs w:val="24"/>
        </w:rPr>
        <w:t xml:space="preserve">chapter on </w:t>
      </w:r>
      <w:r w:rsidR="00CA6935">
        <w:rPr>
          <w:rFonts w:cs="Times New Roman"/>
          <w:szCs w:val="24"/>
        </w:rPr>
        <w:t xml:space="preserve">the </w:t>
      </w:r>
      <w:r w:rsidR="008E5CE0">
        <w:rPr>
          <w:rFonts w:cs="Times New Roman"/>
          <w:szCs w:val="24"/>
        </w:rPr>
        <w:t>stage version</w:t>
      </w:r>
      <w:r w:rsidR="002426EB">
        <w:rPr>
          <w:rFonts w:cs="Times New Roman"/>
          <w:szCs w:val="24"/>
        </w:rPr>
        <w:t>s</w:t>
      </w:r>
      <w:r w:rsidR="008E5CE0">
        <w:rPr>
          <w:rFonts w:cs="Times New Roman"/>
          <w:szCs w:val="24"/>
        </w:rPr>
        <w:t xml:space="preserve"> of </w:t>
      </w:r>
      <w:r w:rsidR="008E5CE0">
        <w:rPr>
          <w:rFonts w:cs="Times New Roman"/>
          <w:i/>
          <w:szCs w:val="24"/>
        </w:rPr>
        <w:t xml:space="preserve">Villette </w:t>
      </w:r>
      <w:r w:rsidR="008E5CE0">
        <w:rPr>
          <w:rFonts w:cs="Times New Roman"/>
          <w:szCs w:val="24"/>
        </w:rPr>
        <w:t xml:space="preserve">which will appear in the forthcoming book, </w:t>
      </w:r>
      <w:r w:rsidR="008E5CE0" w:rsidRPr="004C6E14">
        <w:rPr>
          <w:rFonts w:cs="Times New Roman"/>
          <w:i/>
          <w:szCs w:val="24"/>
        </w:rPr>
        <w:t>Charlotte Brontë</w:t>
      </w:r>
      <w:r w:rsidR="008E5CE0">
        <w:rPr>
          <w:rFonts w:cs="Times New Roman"/>
          <w:i/>
          <w:szCs w:val="24"/>
        </w:rPr>
        <w:t>: Legacies and Afterlives</w:t>
      </w:r>
      <w:r w:rsidR="008E5CE0">
        <w:rPr>
          <w:rFonts w:cs="Times New Roman"/>
          <w:szCs w:val="24"/>
        </w:rPr>
        <w:t xml:space="preserve"> (2016), edited by Amber K. Regis and myself. This </w:t>
      </w:r>
      <w:r w:rsidR="00D24613">
        <w:rPr>
          <w:rFonts w:cs="Times New Roman"/>
          <w:szCs w:val="24"/>
        </w:rPr>
        <w:t>collection</w:t>
      </w:r>
      <w:r w:rsidR="008E5CE0">
        <w:rPr>
          <w:rFonts w:cs="Times New Roman"/>
          <w:szCs w:val="24"/>
        </w:rPr>
        <w:t xml:space="preserve"> also contains chapters on film adaptations, biodramas, </w:t>
      </w:r>
      <w:r w:rsidR="002426EB">
        <w:rPr>
          <w:rFonts w:cs="Times New Roman"/>
          <w:szCs w:val="24"/>
        </w:rPr>
        <w:t>poetry, feminist legacies</w:t>
      </w:r>
      <w:r w:rsidR="006852D4">
        <w:rPr>
          <w:rFonts w:cs="Times New Roman"/>
          <w:szCs w:val="24"/>
        </w:rPr>
        <w:t>,</w:t>
      </w:r>
      <w:r w:rsidR="002426EB">
        <w:rPr>
          <w:rFonts w:cs="Times New Roman"/>
          <w:szCs w:val="24"/>
        </w:rPr>
        <w:t xml:space="preserve"> </w:t>
      </w:r>
      <w:r w:rsidR="008E5CE0">
        <w:rPr>
          <w:rFonts w:cs="Times New Roman"/>
          <w:szCs w:val="24"/>
        </w:rPr>
        <w:t>literary tourism</w:t>
      </w:r>
      <w:r w:rsidR="002426EB">
        <w:rPr>
          <w:rFonts w:cs="Times New Roman"/>
          <w:szCs w:val="24"/>
        </w:rPr>
        <w:t xml:space="preserve">, as well as </w:t>
      </w:r>
      <w:r w:rsidR="006852D4">
        <w:rPr>
          <w:rFonts w:cs="Times New Roman"/>
          <w:szCs w:val="24"/>
        </w:rPr>
        <w:t>the</w:t>
      </w:r>
      <w:r w:rsidR="00D24613">
        <w:rPr>
          <w:rFonts w:cs="Times New Roman"/>
          <w:szCs w:val="24"/>
        </w:rPr>
        <w:t xml:space="preserve"> </w:t>
      </w:r>
      <w:r w:rsidR="006852D4">
        <w:rPr>
          <w:rFonts w:cs="Times New Roman"/>
          <w:szCs w:val="24"/>
        </w:rPr>
        <w:t>influence of</w:t>
      </w:r>
      <w:r w:rsidR="002426EB">
        <w:rPr>
          <w:rFonts w:cs="Times New Roman"/>
          <w:szCs w:val="24"/>
        </w:rPr>
        <w:t xml:space="preserve"> </w:t>
      </w:r>
      <w:r w:rsidR="002426EB" w:rsidRPr="002426EB">
        <w:rPr>
          <w:rFonts w:cs="Times New Roman"/>
          <w:szCs w:val="24"/>
        </w:rPr>
        <w:t>Brontë</w:t>
      </w:r>
      <w:r w:rsidR="00D24613">
        <w:rPr>
          <w:rFonts w:cs="Times New Roman"/>
          <w:szCs w:val="24"/>
        </w:rPr>
        <w:t>’s</w:t>
      </w:r>
      <w:r w:rsidR="002426EB">
        <w:rPr>
          <w:rFonts w:cs="Times New Roman"/>
          <w:i/>
          <w:szCs w:val="24"/>
        </w:rPr>
        <w:t xml:space="preserve"> </w:t>
      </w:r>
      <w:r w:rsidR="00D24613">
        <w:rPr>
          <w:rFonts w:cs="Times New Roman"/>
          <w:szCs w:val="24"/>
        </w:rPr>
        <w:t>work</w:t>
      </w:r>
      <w:r w:rsidR="006852D4">
        <w:rPr>
          <w:rFonts w:cs="Times New Roman"/>
          <w:szCs w:val="24"/>
        </w:rPr>
        <w:t xml:space="preserve"> on subsequent writers</w:t>
      </w:r>
      <w:r w:rsidR="002426EB">
        <w:rPr>
          <w:rFonts w:cs="Times New Roman"/>
          <w:szCs w:val="24"/>
        </w:rPr>
        <w:t xml:space="preserve">. </w:t>
      </w:r>
      <w:r w:rsidR="001920BA">
        <w:rPr>
          <w:rFonts w:cs="Times New Roman"/>
          <w:szCs w:val="24"/>
        </w:rPr>
        <w:t>Of particular significance is Anna Barton’s chapter on Ch</w:t>
      </w:r>
      <w:r w:rsidR="00CA6935">
        <w:rPr>
          <w:rFonts w:cs="Times New Roman"/>
          <w:szCs w:val="24"/>
        </w:rPr>
        <w:t>arlotte Brontë’s poetry. Too many</w:t>
      </w:r>
      <w:r w:rsidR="001920BA">
        <w:rPr>
          <w:rFonts w:cs="Times New Roman"/>
          <w:szCs w:val="24"/>
        </w:rPr>
        <w:t xml:space="preserve"> critics have dismissed her poetry as insignificant</w:t>
      </w:r>
      <w:r w:rsidR="00A12FF3">
        <w:rPr>
          <w:rFonts w:cs="Times New Roman"/>
          <w:szCs w:val="24"/>
        </w:rPr>
        <w:t xml:space="preserve">, </w:t>
      </w:r>
      <w:r w:rsidR="00CA6935">
        <w:rPr>
          <w:rFonts w:cs="Times New Roman"/>
          <w:szCs w:val="24"/>
        </w:rPr>
        <w:t>and</w:t>
      </w:r>
      <w:r w:rsidR="00A12FF3">
        <w:rPr>
          <w:rFonts w:cs="Times New Roman"/>
          <w:szCs w:val="24"/>
        </w:rPr>
        <w:t xml:space="preserve"> Barton</w:t>
      </w:r>
      <w:r w:rsidR="00CA6935">
        <w:rPr>
          <w:rFonts w:cs="Times New Roman"/>
          <w:szCs w:val="24"/>
        </w:rPr>
        <w:t>’s reassessment of</w:t>
      </w:r>
      <w:r w:rsidR="00A12FF3">
        <w:rPr>
          <w:rFonts w:cs="Times New Roman"/>
          <w:szCs w:val="24"/>
        </w:rPr>
        <w:t xml:space="preserve"> its importance </w:t>
      </w:r>
      <w:r w:rsidR="00CA6935">
        <w:rPr>
          <w:rFonts w:cs="Times New Roman"/>
          <w:szCs w:val="24"/>
        </w:rPr>
        <w:t>to</w:t>
      </w:r>
      <w:r w:rsidR="00A12FF3">
        <w:rPr>
          <w:rFonts w:cs="Times New Roman"/>
          <w:szCs w:val="24"/>
        </w:rPr>
        <w:t xml:space="preserve"> Brontë’s </w:t>
      </w:r>
      <w:r w:rsidR="006276BB">
        <w:rPr>
          <w:rFonts w:cs="Times New Roman"/>
          <w:szCs w:val="24"/>
        </w:rPr>
        <w:t>fiction</w:t>
      </w:r>
      <w:r w:rsidR="00CA6935">
        <w:rPr>
          <w:rFonts w:cs="Times New Roman"/>
          <w:szCs w:val="24"/>
        </w:rPr>
        <w:t xml:space="preserve"> offers an important addition to Brontë studies</w:t>
      </w:r>
      <w:r w:rsidR="00A12FF3">
        <w:rPr>
          <w:rFonts w:cs="Times New Roman"/>
          <w:szCs w:val="24"/>
        </w:rPr>
        <w:t>.</w:t>
      </w:r>
    </w:p>
    <w:p w:rsidR="001920BA" w:rsidRDefault="00D24613" w:rsidP="00D24613">
      <w:pPr>
        <w:spacing w:line="360" w:lineRule="auto"/>
        <w:ind w:firstLine="720"/>
        <w:jc w:val="both"/>
        <w:rPr>
          <w:rFonts w:cs="Times New Roman"/>
          <w:szCs w:val="24"/>
        </w:rPr>
      </w:pPr>
      <w:r>
        <w:rPr>
          <w:rFonts w:cs="Times New Roman"/>
          <w:szCs w:val="24"/>
        </w:rPr>
        <w:t>Finally,</w:t>
      </w:r>
      <w:r w:rsidR="00D93DA7">
        <w:rPr>
          <w:rFonts w:cs="Times New Roman"/>
          <w:szCs w:val="24"/>
        </w:rPr>
        <w:t xml:space="preserve"> </w:t>
      </w:r>
      <w:r>
        <w:rPr>
          <w:rFonts w:cs="Times New Roman"/>
          <w:szCs w:val="24"/>
        </w:rPr>
        <w:t>f</w:t>
      </w:r>
      <w:r w:rsidR="00A67D06">
        <w:rPr>
          <w:rFonts w:cs="Times New Roman"/>
          <w:szCs w:val="24"/>
        </w:rPr>
        <w:t xml:space="preserve">or those new to </w:t>
      </w:r>
      <w:r w:rsidR="00A67D06" w:rsidRPr="00A67D06">
        <w:rPr>
          <w:rFonts w:cs="Times New Roman"/>
          <w:szCs w:val="24"/>
        </w:rPr>
        <w:t>Charlotte Brontë</w:t>
      </w:r>
      <w:r w:rsidR="00A67D06">
        <w:rPr>
          <w:rFonts w:cs="Times New Roman"/>
          <w:i/>
          <w:szCs w:val="24"/>
        </w:rPr>
        <w:t xml:space="preserve"> </w:t>
      </w:r>
      <w:r w:rsidR="00A67D06">
        <w:rPr>
          <w:rFonts w:cs="Times New Roman"/>
          <w:szCs w:val="24"/>
        </w:rPr>
        <w:t>studies, there are</w:t>
      </w:r>
      <w:r w:rsidR="00F848CB">
        <w:rPr>
          <w:rFonts w:cs="Times New Roman"/>
          <w:szCs w:val="24"/>
        </w:rPr>
        <w:t xml:space="preserve"> three</w:t>
      </w:r>
      <w:r w:rsidR="00A67D06">
        <w:rPr>
          <w:rFonts w:cs="Times New Roman"/>
          <w:szCs w:val="24"/>
        </w:rPr>
        <w:t xml:space="preserve"> indispensable books, Patsy Stoneman’s </w:t>
      </w:r>
      <w:r w:rsidR="00A67D06" w:rsidRPr="004C6E14">
        <w:rPr>
          <w:rFonts w:cs="Times New Roman"/>
          <w:i/>
          <w:szCs w:val="24"/>
        </w:rPr>
        <w:t>Charlotte Brontë</w:t>
      </w:r>
      <w:r w:rsidR="00A67D06">
        <w:rPr>
          <w:rFonts w:cs="Times New Roman"/>
          <w:i/>
          <w:szCs w:val="24"/>
        </w:rPr>
        <w:t xml:space="preserve"> </w:t>
      </w:r>
      <w:r w:rsidR="00C87A47">
        <w:rPr>
          <w:rFonts w:cs="Times New Roman"/>
          <w:szCs w:val="24"/>
        </w:rPr>
        <w:t>(2013</w:t>
      </w:r>
      <w:r w:rsidR="00A67D06">
        <w:rPr>
          <w:rFonts w:cs="Times New Roman"/>
          <w:szCs w:val="24"/>
        </w:rPr>
        <w:t>) in the ‘Writers and Their Work’ series</w:t>
      </w:r>
      <w:r w:rsidR="00F848CB">
        <w:rPr>
          <w:rFonts w:cs="Times New Roman"/>
          <w:szCs w:val="24"/>
        </w:rPr>
        <w:t xml:space="preserve">, Patricia Ingham’s </w:t>
      </w:r>
      <w:r w:rsidR="00F848CB" w:rsidRPr="00FA559B">
        <w:rPr>
          <w:rFonts w:cs="Times New Roman"/>
          <w:i/>
          <w:szCs w:val="24"/>
        </w:rPr>
        <w:t xml:space="preserve">The Brontës </w:t>
      </w:r>
      <w:r w:rsidR="00F848CB">
        <w:rPr>
          <w:rFonts w:cs="Times New Roman"/>
          <w:szCs w:val="24"/>
        </w:rPr>
        <w:t>(</w:t>
      </w:r>
      <w:r w:rsidR="00F848CB" w:rsidRPr="00FA559B">
        <w:rPr>
          <w:rFonts w:cs="Times New Roman"/>
          <w:szCs w:val="24"/>
        </w:rPr>
        <w:t>2006)</w:t>
      </w:r>
      <w:r w:rsidR="00F848CB">
        <w:rPr>
          <w:rFonts w:cs="Times New Roman"/>
          <w:szCs w:val="24"/>
        </w:rPr>
        <w:t xml:space="preserve"> </w:t>
      </w:r>
      <w:r w:rsidR="00A67D06">
        <w:rPr>
          <w:rFonts w:cs="Times New Roman"/>
          <w:szCs w:val="24"/>
        </w:rPr>
        <w:t>and Marianne Thormählen’s edited book</w:t>
      </w:r>
      <w:r w:rsidR="00A67D06" w:rsidRPr="00FA559B">
        <w:rPr>
          <w:rFonts w:cs="Times New Roman"/>
          <w:szCs w:val="24"/>
        </w:rPr>
        <w:t xml:space="preserve">, </w:t>
      </w:r>
      <w:r w:rsidR="00A67D06" w:rsidRPr="00FA559B">
        <w:rPr>
          <w:rFonts w:cs="Times New Roman"/>
          <w:i/>
          <w:szCs w:val="24"/>
        </w:rPr>
        <w:t>The Brontës in Context</w:t>
      </w:r>
      <w:r w:rsidR="00A67D06">
        <w:rPr>
          <w:rFonts w:cs="Times New Roman"/>
          <w:szCs w:val="24"/>
        </w:rPr>
        <w:t xml:space="preserve"> (2012). Stoneman weaves details of </w:t>
      </w:r>
      <w:r w:rsidR="00A67D06" w:rsidRPr="00744E8B">
        <w:rPr>
          <w:rFonts w:cs="Times New Roman"/>
          <w:szCs w:val="24"/>
        </w:rPr>
        <w:t>Brontë</w:t>
      </w:r>
      <w:r w:rsidR="00744E8B">
        <w:rPr>
          <w:rFonts w:cs="Times New Roman"/>
          <w:szCs w:val="24"/>
        </w:rPr>
        <w:t>’</w:t>
      </w:r>
      <w:r w:rsidR="00A67D06" w:rsidRPr="00744E8B">
        <w:rPr>
          <w:rFonts w:cs="Times New Roman"/>
          <w:szCs w:val="24"/>
        </w:rPr>
        <w:t>s</w:t>
      </w:r>
      <w:r w:rsidR="00A67D06" w:rsidRPr="00FA559B">
        <w:rPr>
          <w:rFonts w:cs="Times New Roman"/>
          <w:i/>
          <w:szCs w:val="24"/>
        </w:rPr>
        <w:t xml:space="preserve"> </w:t>
      </w:r>
      <w:r w:rsidR="00744E8B">
        <w:rPr>
          <w:rFonts w:cs="Times New Roman"/>
          <w:szCs w:val="24"/>
        </w:rPr>
        <w:t xml:space="preserve">life with perceptive readings of </w:t>
      </w:r>
      <w:r>
        <w:rPr>
          <w:rFonts w:cs="Times New Roman"/>
          <w:szCs w:val="24"/>
        </w:rPr>
        <w:t>all her work</w:t>
      </w:r>
      <w:r w:rsidR="00CA6935">
        <w:rPr>
          <w:rFonts w:cs="Times New Roman"/>
          <w:szCs w:val="24"/>
        </w:rPr>
        <w:t>s</w:t>
      </w:r>
      <w:r>
        <w:rPr>
          <w:rFonts w:cs="Times New Roman"/>
          <w:szCs w:val="24"/>
        </w:rPr>
        <w:t>, including the juvenilia</w:t>
      </w:r>
      <w:r w:rsidR="00CA6935">
        <w:rPr>
          <w:rFonts w:cs="Times New Roman"/>
          <w:szCs w:val="24"/>
        </w:rPr>
        <w:t xml:space="preserve"> and</w:t>
      </w:r>
      <w:r>
        <w:rPr>
          <w:rFonts w:cs="Times New Roman"/>
          <w:szCs w:val="24"/>
        </w:rPr>
        <w:t xml:space="preserve"> correspondence, in a short book</w:t>
      </w:r>
      <w:r w:rsidR="00744E8B">
        <w:rPr>
          <w:rFonts w:cs="Times New Roman"/>
          <w:szCs w:val="24"/>
        </w:rPr>
        <w:t xml:space="preserve"> which </w:t>
      </w:r>
      <w:r w:rsidR="00223E03">
        <w:rPr>
          <w:rFonts w:cs="Times New Roman"/>
          <w:szCs w:val="24"/>
        </w:rPr>
        <w:t>is accessible to undergraduates.</w:t>
      </w:r>
      <w:r w:rsidR="00744E8B">
        <w:rPr>
          <w:rFonts w:cs="Times New Roman"/>
          <w:szCs w:val="24"/>
        </w:rPr>
        <w:t xml:space="preserve"> </w:t>
      </w:r>
      <w:r w:rsidR="00F848CB">
        <w:rPr>
          <w:rFonts w:cs="Times New Roman"/>
          <w:szCs w:val="24"/>
        </w:rPr>
        <w:t>Ingham’s lively study of the life, work and legacy of the sisters</w:t>
      </w:r>
      <w:r>
        <w:rPr>
          <w:rFonts w:cs="Times New Roman"/>
          <w:szCs w:val="24"/>
        </w:rPr>
        <w:t xml:space="preserve"> also offers a good introduction to Charlotte Brontë</w:t>
      </w:r>
      <w:r w:rsidR="006276BB">
        <w:rPr>
          <w:rFonts w:cs="Times New Roman"/>
          <w:szCs w:val="24"/>
        </w:rPr>
        <w:t xml:space="preserve"> </w:t>
      </w:r>
      <w:r w:rsidR="00CA6935">
        <w:rPr>
          <w:rFonts w:cs="Times New Roman"/>
          <w:szCs w:val="24"/>
        </w:rPr>
        <w:t>and</w:t>
      </w:r>
      <w:r w:rsidR="00F848CB">
        <w:rPr>
          <w:rFonts w:cs="Times New Roman"/>
          <w:szCs w:val="24"/>
        </w:rPr>
        <w:t xml:space="preserve"> is available as an affordable paperback. </w:t>
      </w:r>
      <w:r w:rsidR="00744E8B" w:rsidRPr="00FA559B">
        <w:rPr>
          <w:rFonts w:cs="Times New Roman"/>
          <w:i/>
          <w:szCs w:val="24"/>
        </w:rPr>
        <w:t>The Brontës in Context</w:t>
      </w:r>
      <w:r w:rsidR="00744E8B">
        <w:rPr>
          <w:rFonts w:cs="Times New Roman"/>
          <w:szCs w:val="24"/>
        </w:rPr>
        <w:t xml:space="preserve"> </w:t>
      </w:r>
      <w:r w:rsidR="00223E03">
        <w:rPr>
          <w:rFonts w:cs="Times New Roman"/>
          <w:szCs w:val="24"/>
        </w:rPr>
        <w:t>is equally accessible to students, offering</w:t>
      </w:r>
      <w:r w:rsidR="00744E8B">
        <w:rPr>
          <w:rFonts w:cs="Times New Roman"/>
          <w:szCs w:val="24"/>
        </w:rPr>
        <w:t xml:space="preserve"> forty-two very short chapters </w:t>
      </w:r>
      <w:r>
        <w:rPr>
          <w:rFonts w:cs="Times New Roman"/>
          <w:szCs w:val="24"/>
        </w:rPr>
        <w:t xml:space="preserve">each </w:t>
      </w:r>
      <w:r w:rsidR="00744E8B">
        <w:rPr>
          <w:rFonts w:cs="Times New Roman"/>
          <w:szCs w:val="24"/>
        </w:rPr>
        <w:t xml:space="preserve">introducing key topics associated with </w:t>
      </w:r>
      <w:r w:rsidR="00744E8B" w:rsidRPr="00744E8B">
        <w:rPr>
          <w:rFonts w:cs="Times New Roman"/>
          <w:szCs w:val="24"/>
        </w:rPr>
        <w:t>Brontë</w:t>
      </w:r>
      <w:r w:rsidR="00744E8B">
        <w:rPr>
          <w:rFonts w:cs="Times New Roman"/>
          <w:szCs w:val="24"/>
        </w:rPr>
        <w:t xml:space="preserve"> studies today, including </w:t>
      </w:r>
      <w:r w:rsidR="006276BB">
        <w:rPr>
          <w:rFonts w:cs="Times New Roman"/>
          <w:szCs w:val="24"/>
        </w:rPr>
        <w:t xml:space="preserve">religion, </w:t>
      </w:r>
      <w:r w:rsidR="00744E8B">
        <w:rPr>
          <w:rFonts w:cs="Times New Roman"/>
          <w:szCs w:val="24"/>
        </w:rPr>
        <w:t>education</w:t>
      </w:r>
      <w:r w:rsidR="006276BB">
        <w:rPr>
          <w:rFonts w:cs="Times New Roman"/>
          <w:szCs w:val="24"/>
        </w:rPr>
        <w:t>, politics, biography,</w:t>
      </w:r>
      <w:r w:rsidR="00744E8B">
        <w:rPr>
          <w:rFonts w:cs="Times New Roman"/>
          <w:szCs w:val="24"/>
        </w:rPr>
        <w:t xml:space="preserve"> </w:t>
      </w:r>
      <w:r w:rsidR="00734891">
        <w:rPr>
          <w:rFonts w:cs="Times New Roman"/>
          <w:szCs w:val="24"/>
        </w:rPr>
        <w:t xml:space="preserve">dress </w:t>
      </w:r>
      <w:r w:rsidR="00744E8B">
        <w:rPr>
          <w:rFonts w:cs="Times New Roman"/>
          <w:szCs w:val="24"/>
        </w:rPr>
        <w:t>and adaptations</w:t>
      </w:r>
      <w:r w:rsidR="00223E03">
        <w:rPr>
          <w:rFonts w:cs="Times New Roman"/>
          <w:szCs w:val="24"/>
        </w:rPr>
        <w:t xml:space="preserve">. </w:t>
      </w:r>
      <w:r w:rsidR="00223E03" w:rsidRPr="00223E03">
        <w:rPr>
          <w:rFonts w:cs="Times New Roman"/>
          <w:szCs w:val="24"/>
        </w:rPr>
        <w:t>Charlotte Brontë</w:t>
      </w:r>
      <w:r w:rsidR="00223E03">
        <w:rPr>
          <w:rFonts w:cs="Times New Roman"/>
          <w:szCs w:val="24"/>
        </w:rPr>
        <w:t xml:space="preserve"> studies would be </w:t>
      </w:r>
      <w:r w:rsidR="00734891">
        <w:rPr>
          <w:rFonts w:cs="Times New Roman"/>
          <w:szCs w:val="24"/>
        </w:rPr>
        <w:t>seriously impoverished</w:t>
      </w:r>
      <w:r w:rsidR="00223E03">
        <w:rPr>
          <w:rFonts w:cs="Times New Roman"/>
          <w:szCs w:val="24"/>
        </w:rPr>
        <w:t xml:space="preserve"> without </w:t>
      </w:r>
      <w:r w:rsidR="00223E03">
        <w:rPr>
          <w:rFonts w:cs="Times New Roman"/>
          <w:i/>
          <w:szCs w:val="24"/>
        </w:rPr>
        <w:t>Brontë</w:t>
      </w:r>
      <w:r w:rsidR="00223E03" w:rsidRPr="00FA559B">
        <w:rPr>
          <w:rFonts w:cs="Times New Roman"/>
          <w:i/>
          <w:szCs w:val="24"/>
        </w:rPr>
        <w:t xml:space="preserve"> </w:t>
      </w:r>
      <w:r w:rsidR="00223E03">
        <w:rPr>
          <w:rFonts w:cs="Times New Roman"/>
          <w:i/>
          <w:szCs w:val="24"/>
        </w:rPr>
        <w:t>S</w:t>
      </w:r>
      <w:r w:rsidR="00223E03" w:rsidRPr="00FA559B">
        <w:rPr>
          <w:rFonts w:cs="Times New Roman"/>
          <w:i/>
          <w:szCs w:val="24"/>
        </w:rPr>
        <w:t>t</w:t>
      </w:r>
      <w:r w:rsidR="00223E03">
        <w:rPr>
          <w:rFonts w:cs="Times New Roman"/>
          <w:i/>
          <w:szCs w:val="24"/>
        </w:rPr>
        <w:t>udies</w:t>
      </w:r>
      <w:r w:rsidR="00223E03">
        <w:rPr>
          <w:rFonts w:cs="Times New Roman"/>
          <w:szCs w:val="24"/>
        </w:rPr>
        <w:t xml:space="preserve">, the journal of the </w:t>
      </w:r>
      <w:r w:rsidR="00223E03" w:rsidRPr="00223E03">
        <w:rPr>
          <w:rFonts w:cs="Times New Roman"/>
          <w:szCs w:val="24"/>
        </w:rPr>
        <w:t>Brontë Society</w:t>
      </w:r>
      <w:r w:rsidR="00223E03">
        <w:rPr>
          <w:rFonts w:cs="Times New Roman"/>
          <w:szCs w:val="24"/>
        </w:rPr>
        <w:t>, which has been aro</w:t>
      </w:r>
      <w:r>
        <w:rPr>
          <w:rFonts w:cs="Times New Roman"/>
          <w:szCs w:val="24"/>
        </w:rPr>
        <w:t xml:space="preserve">und for over a hundred years </w:t>
      </w:r>
      <w:r w:rsidR="00734891">
        <w:rPr>
          <w:rFonts w:cs="Times New Roman"/>
          <w:szCs w:val="24"/>
        </w:rPr>
        <w:t xml:space="preserve">and </w:t>
      </w:r>
      <w:r>
        <w:rPr>
          <w:rFonts w:cs="Times New Roman"/>
          <w:szCs w:val="24"/>
        </w:rPr>
        <w:t>offer</w:t>
      </w:r>
      <w:r w:rsidR="00734891">
        <w:rPr>
          <w:rFonts w:cs="Times New Roman"/>
          <w:szCs w:val="24"/>
        </w:rPr>
        <w:t>s</w:t>
      </w:r>
      <w:r w:rsidR="00223E03">
        <w:rPr>
          <w:rFonts w:cs="Times New Roman"/>
          <w:szCs w:val="24"/>
        </w:rPr>
        <w:t xml:space="preserve"> its readers a </w:t>
      </w:r>
      <w:r w:rsidR="00734891">
        <w:rPr>
          <w:rFonts w:cs="Times New Roman"/>
          <w:szCs w:val="24"/>
        </w:rPr>
        <w:t xml:space="preserve">broad </w:t>
      </w:r>
      <w:r w:rsidR="00223E03">
        <w:rPr>
          <w:rFonts w:cs="Times New Roman"/>
          <w:szCs w:val="24"/>
        </w:rPr>
        <w:t xml:space="preserve">range of lively scholarly and factual articles covering virtually all aspects of </w:t>
      </w:r>
      <w:r>
        <w:rPr>
          <w:rFonts w:cs="Times New Roman"/>
          <w:szCs w:val="24"/>
        </w:rPr>
        <w:t xml:space="preserve">the </w:t>
      </w:r>
      <w:r w:rsidR="006852D4" w:rsidRPr="00223E03">
        <w:rPr>
          <w:rFonts w:cs="Times New Roman"/>
          <w:szCs w:val="24"/>
        </w:rPr>
        <w:t>Brontë</w:t>
      </w:r>
      <w:r>
        <w:rPr>
          <w:rFonts w:cs="Times New Roman"/>
          <w:szCs w:val="24"/>
        </w:rPr>
        <w:t>s</w:t>
      </w:r>
      <w:r w:rsidR="006852D4">
        <w:rPr>
          <w:rFonts w:cs="Times New Roman"/>
          <w:szCs w:val="24"/>
        </w:rPr>
        <w:t>’ liv</w:t>
      </w:r>
      <w:r w:rsidR="00223E03">
        <w:rPr>
          <w:rFonts w:cs="Times New Roman"/>
          <w:szCs w:val="24"/>
        </w:rPr>
        <w:t>e</w:t>
      </w:r>
      <w:r w:rsidR="006852D4">
        <w:rPr>
          <w:rFonts w:cs="Times New Roman"/>
          <w:szCs w:val="24"/>
        </w:rPr>
        <w:t>s</w:t>
      </w:r>
      <w:r w:rsidR="00223E03">
        <w:rPr>
          <w:rFonts w:cs="Times New Roman"/>
          <w:szCs w:val="24"/>
        </w:rPr>
        <w:t xml:space="preserve"> and work</w:t>
      </w:r>
      <w:r w:rsidR="006852D4">
        <w:rPr>
          <w:rFonts w:cs="Times New Roman"/>
          <w:szCs w:val="24"/>
        </w:rPr>
        <w:t>s</w:t>
      </w:r>
      <w:r w:rsidR="00223E03">
        <w:rPr>
          <w:rFonts w:cs="Times New Roman"/>
          <w:szCs w:val="24"/>
        </w:rPr>
        <w:t>.</w:t>
      </w:r>
      <w:r>
        <w:rPr>
          <w:rFonts w:cs="Times New Roman"/>
          <w:szCs w:val="24"/>
        </w:rPr>
        <w:t xml:space="preserve"> </w:t>
      </w:r>
    </w:p>
    <w:p w:rsidR="002D50F7" w:rsidRDefault="00D24613" w:rsidP="00D24613">
      <w:pPr>
        <w:spacing w:line="360" w:lineRule="auto"/>
        <w:ind w:firstLine="720"/>
        <w:jc w:val="both"/>
        <w:rPr>
          <w:rFonts w:cs="Times New Roman"/>
          <w:szCs w:val="24"/>
        </w:rPr>
      </w:pPr>
      <w:r>
        <w:rPr>
          <w:rFonts w:cs="Times New Roman"/>
          <w:szCs w:val="24"/>
        </w:rPr>
        <w:t xml:space="preserve">Future </w:t>
      </w:r>
      <w:r w:rsidR="001920BA">
        <w:rPr>
          <w:rFonts w:cs="Times New Roman"/>
          <w:szCs w:val="24"/>
        </w:rPr>
        <w:t xml:space="preserve">critical </w:t>
      </w:r>
      <w:r>
        <w:rPr>
          <w:rFonts w:cs="Times New Roman"/>
          <w:szCs w:val="24"/>
        </w:rPr>
        <w:t xml:space="preserve">trends in Charlotte Brontë studies will, I am sure, </w:t>
      </w:r>
      <w:r w:rsidR="006276BB">
        <w:rPr>
          <w:rFonts w:cs="Times New Roman"/>
          <w:szCs w:val="24"/>
        </w:rPr>
        <w:t xml:space="preserve">continue to </w:t>
      </w:r>
      <w:r w:rsidR="00734891">
        <w:rPr>
          <w:rFonts w:cs="Times New Roman"/>
          <w:szCs w:val="24"/>
        </w:rPr>
        <w:t>emerge to</w:t>
      </w:r>
      <w:r w:rsidR="001920BA">
        <w:rPr>
          <w:rFonts w:cs="Times New Roman"/>
          <w:szCs w:val="24"/>
        </w:rPr>
        <w:t xml:space="preserve"> </w:t>
      </w:r>
      <w:r>
        <w:rPr>
          <w:rFonts w:cs="Times New Roman"/>
          <w:szCs w:val="24"/>
        </w:rPr>
        <w:t xml:space="preserve">enrich our understanding of </w:t>
      </w:r>
      <w:r w:rsidR="00734891">
        <w:rPr>
          <w:rFonts w:cs="Times New Roman"/>
          <w:szCs w:val="24"/>
        </w:rPr>
        <w:t>this fascinating</w:t>
      </w:r>
      <w:r>
        <w:rPr>
          <w:rFonts w:cs="Times New Roman"/>
          <w:szCs w:val="24"/>
        </w:rPr>
        <w:t xml:space="preserve"> author</w:t>
      </w:r>
      <w:r w:rsidR="00734891">
        <w:rPr>
          <w:rFonts w:cs="Times New Roman"/>
          <w:szCs w:val="24"/>
        </w:rPr>
        <w:t>.</w:t>
      </w:r>
      <w:r>
        <w:rPr>
          <w:rFonts w:cs="Times New Roman"/>
          <w:szCs w:val="24"/>
        </w:rPr>
        <w:t xml:space="preserve"> </w:t>
      </w:r>
      <w:r w:rsidR="00734891">
        <w:rPr>
          <w:rFonts w:cs="Times New Roman"/>
          <w:i/>
          <w:szCs w:val="24"/>
        </w:rPr>
        <w:t xml:space="preserve">Jane Eyre </w:t>
      </w:r>
      <w:r w:rsidR="006276BB">
        <w:rPr>
          <w:rFonts w:cs="Times New Roman"/>
          <w:szCs w:val="24"/>
        </w:rPr>
        <w:t>ha</w:t>
      </w:r>
      <w:r>
        <w:rPr>
          <w:rFonts w:cs="Times New Roman"/>
          <w:szCs w:val="24"/>
        </w:rPr>
        <w:t xml:space="preserve">s </w:t>
      </w:r>
      <w:r w:rsidR="006852D4">
        <w:rPr>
          <w:rFonts w:cs="Times New Roman"/>
          <w:szCs w:val="24"/>
        </w:rPr>
        <w:t xml:space="preserve">consistently </w:t>
      </w:r>
      <w:r w:rsidR="006276BB">
        <w:rPr>
          <w:rFonts w:cs="Times New Roman"/>
          <w:szCs w:val="24"/>
        </w:rPr>
        <w:t>been part of the undergraduate curriculum for decades</w:t>
      </w:r>
      <w:r w:rsidR="00734891">
        <w:rPr>
          <w:rFonts w:cs="Times New Roman"/>
          <w:szCs w:val="24"/>
        </w:rPr>
        <w:t>, and is</w:t>
      </w:r>
      <w:r w:rsidR="001920BA">
        <w:rPr>
          <w:rFonts w:cs="Times New Roman"/>
          <w:szCs w:val="24"/>
        </w:rPr>
        <w:t xml:space="preserve"> </w:t>
      </w:r>
      <w:r w:rsidR="006276BB">
        <w:rPr>
          <w:rFonts w:cs="Times New Roman"/>
          <w:szCs w:val="24"/>
        </w:rPr>
        <w:t xml:space="preserve">renowned </w:t>
      </w:r>
      <w:r>
        <w:rPr>
          <w:rFonts w:cs="Times New Roman"/>
          <w:szCs w:val="24"/>
        </w:rPr>
        <w:t xml:space="preserve">as </w:t>
      </w:r>
      <w:r w:rsidR="006276BB">
        <w:rPr>
          <w:rFonts w:cs="Times New Roman"/>
          <w:szCs w:val="24"/>
        </w:rPr>
        <w:t xml:space="preserve">being </w:t>
      </w:r>
      <w:r>
        <w:rPr>
          <w:rFonts w:cs="Times New Roman"/>
          <w:szCs w:val="24"/>
        </w:rPr>
        <w:t xml:space="preserve">a major Victorian </w:t>
      </w:r>
      <w:r w:rsidR="006276BB">
        <w:rPr>
          <w:rFonts w:cs="Times New Roman"/>
          <w:szCs w:val="24"/>
        </w:rPr>
        <w:t>novel</w:t>
      </w:r>
      <w:r>
        <w:rPr>
          <w:rFonts w:cs="Times New Roman"/>
          <w:szCs w:val="24"/>
        </w:rPr>
        <w:t xml:space="preserve"> </w:t>
      </w:r>
      <w:r w:rsidR="00ED1D56">
        <w:rPr>
          <w:rFonts w:cs="Times New Roman"/>
          <w:szCs w:val="24"/>
        </w:rPr>
        <w:t xml:space="preserve">loved </w:t>
      </w:r>
      <w:r w:rsidR="00ED1D56">
        <w:rPr>
          <w:rFonts w:cs="Times New Roman"/>
          <w:szCs w:val="24"/>
        </w:rPr>
        <w:lastRenderedPageBreak/>
        <w:t>by</w:t>
      </w:r>
      <w:r>
        <w:rPr>
          <w:rFonts w:cs="Times New Roman"/>
          <w:szCs w:val="24"/>
        </w:rPr>
        <w:t xml:space="preserve"> general readers. However, it is to be hoped that </w:t>
      </w:r>
      <w:r w:rsidR="006852D4">
        <w:rPr>
          <w:rFonts w:cs="Times New Roman"/>
          <w:szCs w:val="24"/>
        </w:rPr>
        <w:t xml:space="preserve">future </w:t>
      </w:r>
      <w:r>
        <w:rPr>
          <w:rFonts w:cs="Times New Roman"/>
          <w:szCs w:val="24"/>
        </w:rPr>
        <w:t xml:space="preserve">academic studies will give more weight to </w:t>
      </w:r>
      <w:r>
        <w:rPr>
          <w:rFonts w:cs="Times New Roman"/>
          <w:i/>
          <w:szCs w:val="24"/>
        </w:rPr>
        <w:t>The Professor</w:t>
      </w:r>
      <w:r>
        <w:rPr>
          <w:rFonts w:cs="Times New Roman"/>
          <w:szCs w:val="24"/>
        </w:rPr>
        <w:t xml:space="preserve">, </w:t>
      </w:r>
      <w:r>
        <w:rPr>
          <w:rFonts w:cs="Times New Roman"/>
          <w:i/>
          <w:szCs w:val="24"/>
        </w:rPr>
        <w:t xml:space="preserve">Shirley, </w:t>
      </w:r>
      <w:r w:rsidRPr="00D24613">
        <w:rPr>
          <w:rFonts w:cs="Times New Roman"/>
          <w:i/>
          <w:szCs w:val="24"/>
        </w:rPr>
        <w:t>Villette</w:t>
      </w:r>
      <w:r>
        <w:rPr>
          <w:rFonts w:cs="Times New Roman"/>
          <w:szCs w:val="24"/>
        </w:rPr>
        <w:t xml:space="preserve">, the poetry and </w:t>
      </w:r>
      <w:r w:rsidR="00704E4B">
        <w:rPr>
          <w:rFonts w:cs="Times New Roman"/>
          <w:szCs w:val="24"/>
        </w:rPr>
        <w:t xml:space="preserve">the </w:t>
      </w:r>
      <w:r>
        <w:rPr>
          <w:rFonts w:cs="Times New Roman"/>
          <w:szCs w:val="24"/>
        </w:rPr>
        <w:t>juvenilia</w:t>
      </w:r>
      <w:r w:rsidR="004564CA">
        <w:rPr>
          <w:rFonts w:cs="Times New Roman"/>
          <w:szCs w:val="24"/>
        </w:rPr>
        <w:t xml:space="preserve"> than has hitherto been the case</w:t>
      </w:r>
      <w:r>
        <w:rPr>
          <w:rFonts w:cs="Times New Roman"/>
          <w:szCs w:val="24"/>
        </w:rPr>
        <w:t xml:space="preserve">. The time has come when </w:t>
      </w:r>
      <w:r>
        <w:rPr>
          <w:rFonts w:cs="Times New Roman"/>
          <w:i/>
          <w:szCs w:val="24"/>
        </w:rPr>
        <w:t>Jane Eyre</w:t>
      </w:r>
      <w:r>
        <w:rPr>
          <w:rFonts w:cs="Times New Roman"/>
          <w:szCs w:val="24"/>
        </w:rPr>
        <w:t>’s dominance in Charlotte Brontë studies needs to be challenged.</w:t>
      </w:r>
    </w:p>
    <w:p w:rsidR="00646FD7" w:rsidRDefault="00646FD7" w:rsidP="00FA559B">
      <w:pPr>
        <w:spacing w:line="360" w:lineRule="auto"/>
        <w:jc w:val="both"/>
        <w:rPr>
          <w:rFonts w:cs="Times New Roman"/>
          <w:b/>
          <w:szCs w:val="24"/>
        </w:rPr>
      </w:pPr>
    </w:p>
    <w:p w:rsidR="00646FD7" w:rsidRDefault="00646FD7" w:rsidP="00FA559B">
      <w:pPr>
        <w:spacing w:line="360" w:lineRule="auto"/>
        <w:jc w:val="both"/>
        <w:rPr>
          <w:rFonts w:cs="Times New Roman"/>
          <w:b/>
          <w:szCs w:val="24"/>
        </w:rPr>
      </w:pPr>
    </w:p>
    <w:p w:rsidR="00EB4BAC" w:rsidRPr="008E5CE0" w:rsidRDefault="008E5CE0" w:rsidP="00FA559B">
      <w:pPr>
        <w:spacing w:line="360" w:lineRule="auto"/>
        <w:jc w:val="both"/>
        <w:rPr>
          <w:rFonts w:cs="Times New Roman"/>
          <w:b/>
          <w:szCs w:val="24"/>
        </w:rPr>
      </w:pPr>
      <w:r w:rsidRPr="008E5CE0">
        <w:rPr>
          <w:rFonts w:cs="Times New Roman"/>
          <w:b/>
          <w:szCs w:val="24"/>
        </w:rPr>
        <w:t>Works cited</w:t>
      </w:r>
    </w:p>
    <w:p w:rsidR="008E5CE0" w:rsidRDefault="008E5CE0" w:rsidP="00FA559B">
      <w:pPr>
        <w:spacing w:line="360" w:lineRule="auto"/>
        <w:jc w:val="both"/>
        <w:rPr>
          <w:rFonts w:cs="Times New Roman"/>
          <w:szCs w:val="24"/>
        </w:rPr>
      </w:pPr>
    </w:p>
    <w:p w:rsidR="00023D49" w:rsidRDefault="00B7196C" w:rsidP="00FA559B">
      <w:pPr>
        <w:spacing w:line="360" w:lineRule="auto"/>
        <w:jc w:val="both"/>
        <w:rPr>
          <w:rFonts w:cs="Times New Roman"/>
          <w:szCs w:val="24"/>
        </w:rPr>
      </w:pPr>
      <w:r w:rsidRPr="00FA559B">
        <w:rPr>
          <w:rFonts w:cs="Times New Roman"/>
          <w:szCs w:val="24"/>
        </w:rPr>
        <w:t>Alexander,</w:t>
      </w:r>
      <w:r>
        <w:rPr>
          <w:rFonts w:cs="Times New Roman"/>
          <w:szCs w:val="24"/>
        </w:rPr>
        <w:t xml:space="preserve"> </w:t>
      </w:r>
      <w:r w:rsidRPr="00FA559B">
        <w:rPr>
          <w:rFonts w:cs="Times New Roman"/>
          <w:szCs w:val="24"/>
        </w:rPr>
        <w:t>Christine</w:t>
      </w:r>
      <w:r>
        <w:rPr>
          <w:rFonts w:cs="Times New Roman"/>
          <w:szCs w:val="24"/>
        </w:rPr>
        <w:t>.</w:t>
      </w:r>
      <w:r w:rsidRPr="00FA559B">
        <w:rPr>
          <w:rFonts w:cs="Times New Roman"/>
          <w:szCs w:val="24"/>
        </w:rPr>
        <w:t xml:space="preserve"> </w:t>
      </w:r>
      <w:r>
        <w:rPr>
          <w:rFonts w:cs="Times New Roman"/>
          <w:i/>
          <w:szCs w:val="24"/>
        </w:rPr>
        <w:t xml:space="preserve">The Early Writings of </w:t>
      </w:r>
      <w:r w:rsidRPr="00FA559B">
        <w:rPr>
          <w:rFonts w:cs="Times New Roman"/>
          <w:i/>
          <w:szCs w:val="24"/>
        </w:rPr>
        <w:t>Charlotte Brontë</w:t>
      </w:r>
      <w:r>
        <w:rPr>
          <w:rFonts w:cs="Times New Roman"/>
          <w:szCs w:val="24"/>
        </w:rPr>
        <w:t>. Oxford: Blackwell, 1983.</w:t>
      </w:r>
    </w:p>
    <w:p w:rsidR="00B7196C" w:rsidRPr="00B7196C" w:rsidRDefault="00B7196C" w:rsidP="00FA559B">
      <w:pPr>
        <w:spacing w:line="360" w:lineRule="auto"/>
        <w:jc w:val="both"/>
        <w:rPr>
          <w:rFonts w:cs="Times New Roman"/>
          <w:szCs w:val="24"/>
        </w:rPr>
      </w:pPr>
    </w:p>
    <w:p w:rsidR="00B7196C" w:rsidRPr="00B7196C" w:rsidRDefault="00B7196C" w:rsidP="00FA559B">
      <w:pPr>
        <w:spacing w:line="360" w:lineRule="auto"/>
        <w:jc w:val="both"/>
        <w:rPr>
          <w:rFonts w:cs="Times New Roman"/>
          <w:szCs w:val="24"/>
        </w:rPr>
      </w:pPr>
      <w:r w:rsidRPr="00FA559B">
        <w:rPr>
          <w:rFonts w:cs="Times New Roman"/>
          <w:szCs w:val="24"/>
        </w:rPr>
        <w:t>Alexander,</w:t>
      </w:r>
      <w:r>
        <w:rPr>
          <w:rFonts w:cs="Times New Roman"/>
          <w:szCs w:val="24"/>
        </w:rPr>
        <w:t xml:space="preserve"> </w:t>
      </w:r>
      <w:r w:rsidRPr="00FA559B">
        <w:rPr>
          <w:rFonts w:cs="Times New Roman"/>
          <w:szCs w:val="24"/>
        </w:rPr>
        <w:t>Christine</w:t>
      </w:r>
      <w:r>
        <w:rPr>
          <w:rFonts w:cs="Times New Roman"/>
          <w:szCs w:val="24"/>
        </w:rPr>
        <w:t xml:space="preserve">. Ed. </w:t>
      </w:r>
      <w:r>
        <w:rPr>
          <w:rFonts w:cs="Times New Roman"/>
          <w:i/>
          <w:szCs w:val="24"/>
        </w:rPr>
        <w:t xml:space="preserve">An Edition of the Early Writings of </w:t>
      </w:r>
      <w:r w:rsidRPr="00FA559B">
        <w:rPr>
          <w:rFonts w:cs="Times New Roman"/>
          <w:i/>
          <w:szCs w:val="24"/>
        </w:rPr>
        <w:t>Charlotte Brontë</w:t>
      </w:r>
      <w:r>
        <w:rPr>
          <w:rFonts w:cs="Times New Roman"/>
          <w:szCs w:val="24"/>
        </w:rPr>
        <w:t xml:space="preserve">. Oxford: Blackwell, for the Shakespeare Head Press, Vol. I: </w:t>
      </w:r>
      <w:r>
        <w:rPr>
          <w:rFonts w:cs="Times New Roman"/>
          <w:i/>
          <w:szCs w:val="24"/>
        </w:rPr>
        <w:t>The Glass Town Saga, 1826-1832</w:t>
      </w:r>
      <w:r>
        <w:rPr>
          <w:rFonts w:cs="Times New Roman"/>
          <w:szCs w:val="24"/>
        </w:rPr>
        <w:t xml:space="preserve">, 1987; Vol. II: </w:t>
      </w:r>
      <w:r>
        <w:rPr>
          <w:rFonts w:cs="Times New Roman"/>
          <w:i/>
          <w:szCs w:val="24"/>
        </w:rPr>
        <w:t>The Rise of Angria, 1833-1835</w:t>
      </w:r>
      <w:r>
        <w:rPr>
          <w:rFonts w:cs="Times New Roman"/>
          <w:szCs w:val="24"/>
        </w:rPr>
        <w:t>, 1991.</w:t>
      </w:r>
    </w:p>
    <w:p w:rsidR="005250F9" w:rsidRDefault="005250F9" w:rsidP="00023D49">
      <w:pPr>
        <w:spacing w:line="360" w:lineRule="auto"/>
        <w:jc w:val="both"/>
        <w:rPr>
          <w:rFonts w:cs="Times New Roman"/>
          <w:szCs w:val="24"/>
        </w:rPr>
      </w:pPr>
    </w:p>
    <w:p w:rsidR="000D5371" w:rsidRPr="00FA559B" w:rsidRDefault="000D5371" w:rsidP="000D5371">
      <w:pPr>
        <w:spacing w:line="360" w:lineRule="auto"/>
        <w:jc w:val="both"/>
        <w:rPr>
          <w:rFonts w:cs="Times New Roman"/>
          <w:szCs w:val="24"/>
        </w:rPr>
      </w:pPr>
      <w:r w:rsidRPr="00FA559B">
        <w:rPr>
          <w:rFonts w:cs="Times New Roman"/>
          <w:szCs w:val="24"/>
        </w:rPr>
        <w:t>Alexander,</w:t>
      </w:r>
      <w:r>
        <w:rPr>
          <w:rFonts w:cs="Times New Roman"/>
          <w:szCs w:val="24"/>
        </w:rPr>
        <w:t xml:space="preserve"> </w:t>
      </w:r>
      <w:r w:rsidRPr="00FA559B">
        <w:rPr>
          <w:rFonts w:cs="Times New Roman"/>
          <w:szCs w:val="24"/>
        </w:rPr>
        <w:t>Christine</w:t>
      </w:r>
      <w:r>
        <w:rPr>
          <w:rFonts w:cs="Times New Roman"/>
          <w:szCs w:val="24"/>
        </w:rPr>
        <w:t>.</w:t>
      </w:r>
      <w:r w:rsidRPr="00FA559B">
        <w:rPr>
          <w:rFonts w:cs="Times New Roman"/>
          <w:szCs w:val="24"/>
        </w:rPr>
        <w:t xml:space="preserve"> ‘</w:t>
      </w:r>
      <w:r>
        <w:rPr>
          <w:rFonts w:cs="Times New Roman"/>
          <w:szCs w:val="24"/>
        </w:rPr>
        <w:t xml:space="preserve">Educating the Artist’s Eye: Charlotte Brontë and the Pictorial Image.’ </w:t>
      </w:r>
      <w:r w:rsidRPr="00FA559B">
        <w:rPr>
          <w:rFonts w:cs="Times New Roman"/>
          <w:i/>
          <w:szCs w:val="24"/>
        </w:rPr>
        <w:t>The Brontës and the World of the Arts</w:t>
      </w:r>
      <w:r>
        <w:rPr>
          <w:rFonts w:cs="Times New Roman"/>
          <w:szCs w:val="24"/>
        </w:rPr>
        <w:t>.</w:t>
      </w:r>
      <w:r w:rsidRPr="00FA559B">
        <w:rPr>
          <w:rFonts w:cs="Times New Roman"/>
          <w:szCs w:val="24"/>
        </w:rPr>
        <w:t xml:space="preserve"> </w:t>
      </w:r>
      <w:r>
        <w:rPr>
          <w:rFonts w:cs="Times New Roman"/>
          <w:szCs w:val="24"/>
        </w:rPr>
        <w:t xml:space="preserve">Ed. </w:t>
      </w:r>
      <w:r w:rsidRPr="00FA559B">
        <w:rPr>
          <w:rFonts w:cs="Times New Roman"/>
          <w:szCs w:val="24"/>
        </w:rPr>
        <w:t>Sandra Hagan and Juliette Wells</w:t>
      </w:r>
      <w:r>
        <w:rPr>
          <w:rFonts w:cs="Times New Roman"/>
          <w:szCs w:val="24"/>
        </w:rPr>
        <w:t>.</w:t>
      </w:r>
      <w:r w:rsidRPr="00FA559B">
        <w:rPr>
          <w:rFonts w:cs="Times New Roman"/>
          <w:szCs w:val="24"/>
        </w:rPr>
        <w:t xml:space="preserve"> </w:t>
      </w:r>
      <w:r>
        <w:rPr>
          <w:rFonts w:cs="Times New Roman"/>
          <w:szCs w:val="24"/>
        </w:rPr>
        <w:t>Farnham: Ashgate, 2008. 11-30.</w:t>
      </w:r>
    </w:p>
    <w:p w:rsidR="000D5371" w:rsidRDefault="000D5371" w:rsidP="00023D49">
      <w:pPr>
        <w:spacing w:line="360" w:lineRule="auto"/>
        <w:jc w:val="both"/>
        <w:rPr>
          <w:rFonts w:cs="Times New Roman"/>
          <w:szCs w:val="24"/>
        </w:rPr>
      </w:pPr>
    </w:p>
    <w:p w:rsidR="00023D49" w:rsidRPr="00023D49" w:rsidRDefault="004564CA" w:rsidP="00023D49">
      <w:pPr>
        <w:spacing w:line="360" w:lineRule="auto"/>
        <w:jc w:val="both"/>
        <w:rPr>
          <w:rFonts w:cs="Times New Roman"/>
          <w:szCs w:val="24"/>
        </w:rPr>
      </w:pPr>
      <w:r>
        <w:rPr>
          <w:rFonts w:cs="Times New Roman"/>
          <w:szCs w:val="24"/>
        </w:rPr>
        <w:t xml:space="preserve">Bolt, </w:t>
      </w:r>
      <w:r w:rsidR="00023D49">
        <w:rPr>
          <w:rFonts w:cs="Times New Roman"/>
          <w:szCs w:val="24"/>
        </w:rPr>
        <w:t>David</w:t>
      </w:r>
      <w:r>
        <w:rPr>
          <w:rFonts w:cs="Times New Roman"/>
          <w:szCs w:val="24"/>
        </w:rPr>
        <w:t>,</w:t>
      </w:r>
      <w:r w:rsidR="00023D49">
        <w:rPr>
          <w:rFonts w:cs="Times New Roman"/>
          <w:szCs w:val="24"/>
        </w:rPr>
        <w:t xml:space="preserve"> Julia Miele Rodas</w:t>
      </w:r>
      <w:r>
        <w:rPr>
          <w:rFonts w:cs="Times New Roman"/>
          <w:szCs w:val="24"/>
        </w:rPr>
        <w:t>,</w:t>
      </w:r>
      <w:r w:rsidR="00023D49">
        <w:rPr>
          <w:rFonts w:cs="Times New Roman"/>
          <w:szCs w:val="24"/>
        </w:rPr>
        <w:t xml:space="preserve"> and Elizabeth J. Donaldson</w:t>
      </w:r>
      <w:r>
        <w:rPr>
          <w:rFonts w:cs="Times New Roman"/>
          <w:szCs w:val="24"/>
        </w:rPr>
        <w:t>.</w:t>
      </w:r>
      <w:r w:rsidR="00023D49">
        <w:rPr>
          <w:rFonts w:cs="Times New Roman"/>
          <w:szCs w:val="24"/>
        </w:rPr>
        <w:t xml:space="preserve"> </w:t>
      </w:r>
      <w:r>
        <w:rPr>
          <w:rFonts w:cs="Times New Roman"/>
          <w:szCs w:val="24"/>
        </w:rPr>
        <w:t>Ed.</w:t>
      </w:r>
      <w:r w:rsidR="00023D49">
        <w:rPr>
          <w:rFonts w:cs="Times New Roman"/>
          <w:szCs w:val="24"/>
        </w:rPr>
        <w:t xml:space="preserve"> </w:t>
      </w:r>
      <w:r w:rsidR="00023D49" w:rsidRPr="00FA559B">
        <w:rPr>
          <w:rFonts w:cs="Times New Roman"/>
          <w:i/>
          <w:szCs w:val="24"/>
        </w:rPr>
        <w:t>The Madwoman and the Blind Man</w:t>
      </w:r>
      <w:r>
        <w:rPr>
          <w:rFonts w:cs="Times New Roman"/>
          <w:szCs w:val="24"/>
        </w:rPr>
        <w:t>.</w:t>
      </w:r>
      <w:r w:rsidR="00023D49">
        <w:rPr>
          <w:rFonts w:cs="Times New Roman"/>
          <w:i/>
          <w:szCs w:val="24"/>
        </w:rPr>
        <w:t xml:space="preserve"> </w:t>
      </w:r>
      <w:r w:rsidR="00C87A47">
        <w:rPr>
          <w:rFonts w:cs="Times New Roman"/>
          <w:szCs w:val="24"/>
        </w:rPr>
        <w:t xml:space="preserve">Basingstoke: </w:t>
      </w:r>
      <w:r w:rsidR="00023D49">
        <w:rPr>
          <w:rFonts w:cs="Times New Roman"/>
          <w:szCs w:val="24"/>
        </w:rPr>
        <w:t>Palgrave Macmillan, 2012</w:t>
      </w:r>
      <w:r>
        <w:rPr>
          <w:rFonts w:cs="Times New Roman"/>
          <w:szCs w:val="24"/>
        </w:rPr>
        <w:t>.</w:t>
      </w:r>
    </w:p>
    <w:p w:rsidR="005250F9" w:rsidRDefault="005250F9" w:rsidP="005250F9">
      <w:pPr>
        <w:spacing w:line="360" w:lineRule="auto"/>
        <w:jc w:val="both"/>
        <w:rPr>
          <w:rFonts w:cs="Times New Roman"/>
          <w:szCs w:val="24"/>
        </w:rPr>
      </w:pPr>
    </w:p>
    <w:p w:rsidR="00EE0A7A" w:rsidRPr="001E6D80" w:rsidRDefault="00EE0A7A" w:rsidP="005250F9">
      <w:pPr>
        <w:spacing w:line="360" w:lineRule="auto"/>
        <w:jc w:val="both"/>
        <w:rPr>
          <w:rFonts w:cs="Times New Roman"/>
          <w:szCs w:val="24"/>
        </w:rPr>
      </w:pPr>
      <w:r>
        <w:rPr>
          <w:rFonts w:cs="Times New Roman"/>
          <w:szCs w:val="24"/>
        </w:rPr>
        <w:t>Bolt, David, ‘</w:t>
      </w:r>
      <w:r w:rsidR="001E6D80">
        <w:rPr>
          <w:rFonts w:cs="Times New Roman"/>
          <w:szCs w:val="24"/>
        </w:rPr>
        <w:t xml:space="preserve">The Blindman in the Classic: Feminisms, Ocularcentrism, and </w:t>
      </w:r>
      <w:r w:rsidR="001E6D80">
        <w:rPr>
          <w:rFonts w:cs="Times New Roman"/>
          <w:i/>
          <w:szCs w:val="24"/>
        </w:rPr>
        <w:t>Jane Eyre</w:t>
      </w:r>
      <w:r w:rsidR="001E6D80">
        <w:rPr>
          <w:rFonts w:cs="Times New Roman"/>
          <w:szCs w:val="24"/>
        </w:rPr>
        <w:t xml:space="preserve">’. </w:t>
      </w:r>
      <w:r w:rsidR="001E6D80" w:rsidRPr="00FA559B">
        <w:rPr>
          <w:rFonts w:cs="Times New Roman"/>
          <w:i/>
          <w:szCs w:val="24"/>
        </w:rPr>
        <w:t>The Madwoman and the Blind Man</w:t>
      </w:r>
      <w:r w:rsidR="001E6D80">
        <w:rPr>
          <w:rFonts w:cs="Times New Roman"/>
          <w:szCs w:val="24"/>
        </w:rPr>
        <w:t>. Ed. Bolt, David, Julia Miele Rodas, and Elizabeth J. Donaldson. Basingstoke: Palgrave Macmillan, 2012. 32-50.</w:t>
      </w:r>
    </w:p>
    <w:p w:rsidR="00ED2C40" w:rsidRDefault="00ED2C40" w:rsidP="005250F9">
      <w:pPr>
        <w:spacing w:line="360" w:lineRule="auto"/>
        <w:jc w:val="both"/>
        <w:rPr>
          <w:rFonts w:cs="Times New Roman"/>
          <w:szCs w:val="24"/>
        </w:rPr>
      </w:pPr>
    </w:p>
    <w:p w:rsidR="005250F9" w:rsidRDefault="005250F9" w:rsidP="005250F9">
      <w:pPr>
        <w:spacing w:line="360" w:lineRule="auto"/>
        <w:jc w:val="both"/>
        <w:rPr>
          <w:rFonts w:cs="Times New Roman"/>
          <w:szCs w:val="24"/>
        </w:rPr>
      </w:pPr>
      <w:r>
        <w:rPr>
          <w:rFonts w:cs="Times New Roman"/>
          <w:szCs w:val="24"/>
        </w:rPr>
        <w:t xml:space="preserve">Brosh, </w:t>
      </w:r>
      <w:r w:rsidR="004564CA">
        <w:rPr>
          <w:rFonts w:cs="Times New Roman"/>
          <w:szCs w:val="24"/>
        </w:rPr>
        <w:t>Liora.</w:t>
      </w:r>
      <w:r w:rsidRPr="000A67DA">
        <w:rPr>
          <w:rFonts w:cs="Times New Roman"/>
          <w:szCs w:val="24"/>
        </w:rPr>
        <w:t xml:space="preserve"> </w:t>
      </w:r>
      <w:r w:rsidRPr="000A67DA">
        <w:rPr>
          <w:rFonts w:cs="Times New Roman"/>
          <w:i/>
          <w:szCs w:val="24"/>
        </w:rPr>
        <w:t>Screening Novel Women: From British Domestic Fiction to Film</w:t>
      </w:r>
      <w:r w:rsidR="004564CA">
        <w:rPr>
          <w:rFonts w:cs="Times New Roman"/>
          <w:szCs w:val="24"/>
        </w:rPr>
        <w:t>.</w:t>
      </w:r>
      <w:r>
        <w:rPr>
          <w:rFonts w:cs="Times New Roman"/>
          <w:szCs w:val="24"/>
        </w:rPr>
        <w:t xml:space="preserve"> Basingstoke: Palgrave</w:t>
      </w:r>
      <w:r w:rsidR="004564CA">
        <w:rPr>
          <w:rFonts w:cs="Times New Roman"/>
          <w:szCs w:val="24"/>
        </w:rPr>
        <w:t xml:space="preserve"> Macmillan</w:t>
      </w:r>
      <w:r>
        <w:rPr>
          <w:rFonts w:cs="Times New Roman"/>
          <w:szCs w:val="24"/>
        </w:rPr>
        <w:t xml:space="preserve">, </w:t>
      </w:r>
      <w:r w:rsidR="004564CA">
        <w:rPr>
          <w:rFonts w:cs="Times New Roman"/>
          <w:szCs w:val="24"/>
        </w:rPr>
        <w:t>2008.</w:t>
      </w:r>
    </w:p>
    <w:p w:rsidR="00BA629A" w:rsidRDefault="00BA629A" w:rsidP="005250F9">
      <w:pPr>
        <w:spacing w:line="360" w:lineRule="auto"/>
        <w:jc w:val="both"/>
        <w:rPr>
          <w:rFonts w:cs="Times New Roman"/>
          <w:szCs w:val="24"/>
        </w:rPr>
      </w:pPr>
    </w:p>
    <w:p w:rsidR="00BA629A" w:rsidRDefault="00F848CB" w:rsidP="00FA559B">
      <w:pPr>
        <w:spacing w:line="360" w:lineRule="auto"/>
        <w:jc w:val="both"/>
        <w:rPr>
          <w:rFonts w:cs="Times New Roman"/>
          <w:szCs w:val="24"/>
        </w:rPr>
      </w:pPr>
      <w:r>
        <w:rPr>
          <w:rFonts w:cs="Times New Roman"/>
          <w:szCs w:val="24"/>
        </w:rPr>
        <w:t xml:space="preserve">Çelikkol, Ayşe. </w:t>
      </w:r>
      <w:r>
        <w:rPr>
          <w:rFonts w:cs="Times New Roman"/>
          <w:i/>
          <w:szCs w:val="24"/>
        </w:rPr>
        <w:t>Romances of Free Trade: British Literature, Laissez-faire, and the Global Nineteenth Century</w:t>
      </w:r>
      <w:r w:rsidR="00BB5F29">
        <w:rPr>
          <w:rFonts w:cs="Times New Roman"/>
          <w:szCs w:val="24"/>
        </w:rPr>
        <w:t>. Oxford: Oxford UP, 2011.</w:t>
      </w:r>
    </w:p>
    <w:p w:rsidR="00BB5F29" w:rsidRDefault="00BB5F29" w:rsidP="00FA559B">
      <w:pPr>
        <w:spacing w:line="360" w:lineRule="auto"/>
        <w:jc w:val="both"/>
        <w:rPr>
          <w:rFonts w:cs="Times New Roman"/>
          <w:szCs w:val="24"/>
        </w:rPr>
      </w:pPr>
    </w:p>
    <w:p w:rsidR="006B31B6" w:rsidRPr="006341CB" w:rsidRDefault="006B31B6" w:rsidP="00FA559B">
      <w:pPr>
        <w:spacing w:line="360" w:lineRule="auto"/>
        <w:jc w:val="both"/>
        <w:rPr>
          <w:rFonts w:cs="Times New Roman"/>
          <w:szCs w:val="24"/>
        </w:rPr>
      </w:pPr>
      <w:r>
        <w:rPr>
          <w:rFonts w:cs="Times New Roman"/>
          <w:szCs w:val="24"/>
        </w:rPr>
        <w:t xml:space="preserve">Cohen, William A. </w:t>
      </w:r>
      <w:r>
        <w:rPr>
          <w:rFonts w:cs="Times New Roman"/>
          <w:i/>
          <w:szCs w:val="24"/>
        </w:rPr>
        <w:t>Embodied:</w:t>
      </w:r>
      <w:r w:rsidR="006341CB">
        <w:rPr>
          <w:rFonts w:cs="Times New Roman"/>
          <w:i/>
          <w:szCs w:val="24"/>
        </w:rPr>
        <w:t xml:space="preserve"> Victorian Literature and the Senses</w:t>
      </w:r>
      <w:r w:rsidR="006341CB">
        <w:rPr>
          <w:rFonts w:cs="Times New Roman"/>
          <w:szCs w:val="24"/>
        </w:rPr>
        <w:t>. Minneapolis: University of Minnesota Press, 2009.</w:t>
      </w:r>
    </w:p>
    <w:p w:rsidR="006B31B6" w:rsidRDefault="006B31B6" w:rsidP="00FA559B">
      <w:pPr>
        <w:spacing w:line="360" w:lineRule="auto"/>
        <w:jc w:val="both"/>
        <w:rPr>
          <w:rFonts w:cs="Times New Roman"/>
          <w:szCs w:val="24"/>
        </w:rPr>
      </w:pPr>
    </w:p>
    <w:p w:rsidR="00C01891" w:rsidRDefault="00C01891" w:rsidP="00FA559B">
      <w:pPr>
        <w:spacing w:line="360" w:lineRule="auto"/>
        <w:jc w:val="both"/>
        <w:rPr>
          <w:rFonts w:cs="Times New Roman"/>
          <w:szCs w:val="24"/>
        </w:rPr>
      </w:pPr>
      <w:r>
        <w:rPr>
          <w:rFonts w:cs="Times New Roman"/>
          <w:szCs w:val="24"/>
        </w:rPr>
        <w:lastRenderedPageBreak/>
        <w:t xml:space="preserve">Eagleton, Terry. </w:t>
      </w:r>
      <w:r>
        <w:rPr>
          <w:rFonts w:cs="Times New Roman"/>
          <w:i/>
          <w:szCs w:val="24"/>
        </w:rPr>
        <w:t>Myths of Power: A Marxist Study of the</w:t>
      </w:r>
      <w:r w:rsidRPr="00FA559B">
        <w:rPr>
          <w:rFonts w:cs="Times New Roman"/>
          <w:i/>
          <w:szCs w:val="24"/>
        </w:rPr>
        <w:t xml:space="preserve"> Brontës</w:t>
      </w:r>
      <w:r>
        <w:rPr>
          <w:rFonts w:cs="Times New Roman"/>
          <w:szCs w:val="24"/>
        </w:rPr>
        <w:t>. London: Macmillan, 1975</w:t>
      </w:r>
      <w:r w:rsidR="009003C8">
        <w:rPr>
          <w:rFonts w:cs="Times New Roman"/>
          <w:szCs w:val="24"/>
        </w:rPr>
        <w:t>; 30</w:t>
      </w:r>
      <w:r w:rsidR="009003C8" w:rsidRPr="009003C8">
        <w:rPr>
          <w:rFonts w:cs="Times New Roman"/>
          <w:szCs w:val="24"/>
          <w:vertAlign w:val="superscript"/>
        </w:rPr>
        <w:t>th</w:t>
      </w:r>
      <w:r w:rsidR="009003C8">
        <w:rPr>
          <w:rFonts w:cs="Times New Roman"/>
          <w:szCs w:val="24"/>
        </w:rPr>
        <w:t xml:space="preserve"> anniversary edn 2005.</w:t>
      </w:r>
    </w:p>
    <w:p w:rsidR="009003C8" w:rsidRPr="00C01891" w:rsidRDefault="009003C8" w:rsidP="00FA559B">
      <w:pPr>
        <w:spacing w:line="360" w:lineRule="auto"/>
        <w:jc w:val="both"/>
        <w:rPr>
          <w:rFonts w:cs="Times New Roman"/>
          <w:szCs w:val="24"/>
        </w:rPr>
      </w:pPr>
    </w:p>
    <w:p w:rsidR="00EB4BAC" w:rsidRDefault="004564CA" w:rsidP="00FA559B">
      <w:pPr>
        <w:spacing w:line="360" w:lineRule="auto"/>
        <w:jc w:val="both"/>
        <w:rPr>
          <w:rFonts w:cs="Times New Roman"/>
          <w:szCs w:val="24"/>
        </w:rPr>
      </w:pPr>
      <w:r w:rsidRPr="00FA559B">
        <w:rPr>
          <w:rFonts w:cs="Times New Roman"/>
          <w:szCs w:val="24"/>
        </w:rPr>
        <w:t>Freedgood,</w:t>
      </w:r>
      <w:r>
        <w:rPr>
          <w:rFonts w:cs="Times New Roman"/>
          <w:szCs w:val="24"/>
        </w:rPr>
        <w:t xml:space="preserve"> </w:t>
      </w:r>
      <w:r w:rsidR="00023D49" w:rsidRPr="00FA559B">
        <w:rPr>
          <w:rFonts w:cs="Times New Roman"/>
          <w:szCs w:val="24"/>
        </w:rPr>
        <w:t>Elaine</w:t>
      </w:r>
      <w:r>
        <w:rPr>
          <w:rFonts w:cs="Times New Roman"/>
          <w:szCs w:val="24"/>
        </w:rPr>
        <w:t>.</w:t>
      </w:r>
      <w:r w:rsidR="00023D49" w:rsidRPr="00FA559B">
        <w:rPr>
          <w:rFonts w:cs="Times New Roman"/>
          <w:szCs w:val="24"/>
        </w:rPr>
        <w:t xml:space="preserve"> </w:t>
      </w:r>
      <w:r w:rsidR="00023D49" w:rsidRPr="00FA559B">
        <w:rPr>
          <w:rFonts w:cs="Times New Roman"/>
          <w:i/>
          <w:szCs w:val="24"/>
        </w:rPr>
        <w:t>The Ideas in Things: Fugitive Meaning in the Victorian Novel</w:t>
      </w:r>
      <w:r>
        <w:rPr>
          <w:rFonts w:cs="Times New Roman"/>
          <w:szCs w:val="24"/>
        </w:rPr>
        <w:t>.</w:t>
      </w:r>
      <w:r w:rsidR="00023D49" w:rsidRPr="00FA559B">
        <w:rPr>
          <w:rFonts w:cs="Times New Roman"/>
          <w:szCs w:val="24"/>
        </w:rPr>
        <w:t xml:space="preserve"> Chicago: Un</w:t>
      </w:r>
      <w:r>
        <w:rPr>
          <w:rFonts w:cs="Times New Roman"/>
          <w:szCs w:val="24"/>
        </w:rPr>
        <w:t>iversity of Chicago Press, 2006.</w:t>
      </w:r>
    </w:p>
    <w:p w:rsidR="00121552" w:rsidRDefault="00121552" w:rsidP="00FA559B">
      <w:pPr>
        <w:spacing w:line="360" w:lineRule="auto"/>
        <w:jc w:val="both"/>
        <w:rPr>
          <w:rFonts w:cs="Times New Roman"/>
          <w:szCs w:val="24"/>
        </w:rPr>
      </w:pPr>
    </w:p>
    <w:p w:rsidR="00023D49" w:rsidRDefault="00121552" w:rsidP="00023D49">
      <w:pPr>
        <w:spacing w:line="360" w:lineRule="auto"/>
        <w:jc w:val="both"/>
        <w:rPr>
          <w:rFonts w:cs="Times New Roman"/>
          <w:szCs w:val="24"/>
        </w:rPr>
      </w:pPr>
      <w:r>
        <w:rPr>
          <w:rFonts w:cs="Times New Roman"/>
          <w:szCs w:val="24"/>
        </w:rPr>
        <w:t>Gilbert, Sandra M and Susan</w:t>
      </w:r>
      <w:r w:rsidR="004564CA">
        <w:rPr>
          <w:rFonts w:cs="Times New Roman"/>
          <w:szCs w:val="24"/>
        </w:rPr>
        <w:t xml:space="preserve"> Gubar.</w:t>
      </w:r>
      <w:r>
        <w:rPr>
          <w:rFonts w:cs="Times New Roman"/>
          <w:szCs w:val="24"/>
        </w:rPr>
        <w:t xml:space="preserve"> </w:t>
      </w:r>
      <w:r>
        <w:rPr>
          <w:rFonts w:cs="Times New Roman"/>
          <w:i/>
          <w:szCs w:val="24"/>
        </w:rPr>
        <w:t>The Madwoman in the Attic: The Woman Writer and the Nineteenth-Century Literary Imagination</w:t>
      </w:r>
      <w:r w:rsidR="004564CA">
        <w:rPr>
          <w:rFonts w:cs="Times New Roman"/>
          <w:szCs w:val="24"/>
        </w:rPr>
        <w:t>.</w:t>
      </w:r>
      <w:r>
        <w:rPr>
          <w:rFonts w:cs="Times New Roman"/>
          <w:szCs w:val="24"/>
        </w:rPr>
        <w:t xml:space="preserve"> </w:t>
      </w:r>
      <w:r w:rsidR="004564CA">
        <w:rPr>
          <w:rFonts w:cs="Times New Roman"/>
          <w:szCs w:val="24"/>
        </w:rPr>
        <w:t xml:space="preserve">New Haven and London: Yale UP, </w:t>
      </w:r>
      <w:r w:rsidR="009003C8">
        <w:rPr>
          <w:rFonts w:cs="Times New Roman"/>
          <w:szCs w:val="24"/>
        </w:rPr>
        <w:t>1979; 30</w:t>
      </w:r>
      <w:r w:rsidR="009003C8" w:rsidRPr="009003C8">
        <w:rPr>
          <w:rFonts w:cs="Times New Roman"/>
          <w:szCs w:val="24"/>
          <w:vertAlign w:val="superscript"/>
        </w:rPr>
        <w:t>th</w:t>
      </w:r>
      <w:r w:rsidR="009003C8">
        <w:rPr>
          <w:rFonts w:cs="Times New Roman"/>
          <w:szCs w:val="24"/>
        </w:rPr>
        <w:t xml:space="preserve"> anniversary edn </w:t>
      </w:r>
      <w:r w:rsidR="004564CA">
        <w:rPr>
          <w:rFonts w:cs="Times New Roman"/>
          <w:szCs w:val="24"/>
        </w:rPr>
        <w:t>2000.</w:t>
      </w:r>
    </w:p>
    <w:p w:rsidR="00D8696A" w:rsidRDefault="00D8696A" w:rsidP="00023D49">
      <w:pPr>
        <w:spacing w:line="360" w:lineRule="auto"/>
        <w:jc w:val="both"/>
        <w:rPr>
          <w:rFonts w:cs="Times New Roman"/>
          <w:szCs w:val="24"/>
        </w:rPr>
      </w:pPr>
    </w:p>
    <w:p w:rsidR="00D8696A" w:rsidRPr="00D8696A" w:rsidRDefault="00D8696A" w:rsidP="00023D49">
      <w:pPr>
        <w:spacing w:line="360" w:lineRule="auto"/>
        <w:jc w:val="both"/>
        <w:rPr>
          <w:rFonts w:cs="Times New Roman"/>
          <w:szCs w:val="24"/>
        </w:rPr>
      </w:pPr>
      <w:r>
        <w:rPr>
          <w:rFonts w:cs="Times New Roman"/>
          <w:szCs w:val="24"/>
        </w:rPr>
        <w:t xml:space="preserve">Glen, Heather. </w:t>
      </w:r>
      <w:r w:rsidRPr="00FA559B">
        <w:rPr>
          <w:rFonts w:cs="Times New Roman"/>
          <w:i/>
          <w:szCs w:val="24"/>
        </w:rPr>
        <w:t>Charlotte Brontë</w:t>
      </w:r>
      <w:r>
        <w:rPr>
          <w:rFonts w:cs="Times New Roman"/>
          <w:i/>
          <w:szCs w:val="24"/>
        </w:rPr>
        <w:t>: The Imagination in History</w:t>
      </w:r>
      <w:r>
        <w:rPr>
          <w:rFonts w:cs="Times New Roman"/>
          <w:szCs w:val="24"/>
        </w:rPr>
        <w:t>. Cambridge: Cambridge University Press, 2002.</w:t>
      </w:r>
    </w:p>
    <w:p w:rsidR="00023D49" w:rsidRDefault="00023D49" w:rsidP="00023D49">
      <w:pPr>
        <w:spacing w:line="360" w:lineRule="auto"/>
        <w:jc w:val="both"/>
        <w:rPr>
          <w:rFonts w:cs="Times New Roman"/>
          <w:szCs w:val="24"/>
        </w:rPr>
      </w:pPr>
    </w:p>
    <w:p w:rsidR="00023D49" w:rsidRPr="00FA559B" w:rsidRDefault="004564CA" w:rsidP="00023D49">
      <w:pPr>
        <w:spacing w:line="360" w:lineRule="auto"/>
        <w:jc w:val="both"/>
        <w:rPr>
          <w:rFonts w:cs="Times New Roman"/>
          <w:szCs w:val="24"/>
        </w:rPr>
      </w:pPr>
      <w:r w:rsidRPr="00FA559B">
        <w:rPr>
          <w:rFonts w:cs="Times New Roman"/>
          <w:szCs w:val="24"/>
        </w:rPr>
        <w:t>Hagan</w:t>
      </w:r>
      <w:r>
        <w:rPr>
          <w:rFonts w:cs="Times New Roman"/>
          <w:szCs w:val="24"/>
        </w:rPr>
        <w:t>,</w:t>
      </w:r>
      <w:r w:rsidRPr="00FA559B">
        <w:rPr>
          <w:rFonts w:cs="Times New Roman"/>
          <w:szCs w:val="24"/>
        </w:rPr>
        <w:t xml:space="preserve"> </w:t>
      </w:r>
      <w:r w:rsidR="00023D49" w:rsidRPr="00FA559B">
        <w:rPr>
          <w:rFonts w:cs="Times New Roman"/>
          <w:szCs w:val="24"/>
        </w:rPr>
        <w:t>Sandra and Juliette Wells</w:t>
      </w:r>
      <w:r>
        <w:rPr>
          <w:rFonts w:cs="Times New Roman"/>
          <w:szCs w:val="24"/>
        </w:rPr>
        <w:t>.</w:t>
      </w:r>
      <w:r w:rsidR="00023D49" w:rsidRPr="00FA559B">
        <w:rPr>
          <w:rFonts w:cs="Times New Roman"/>
          <w:szCs w:val="24"/>
        </w:rPr>
        <w:t xml:space="preserve"> </w:t>
      </w:r>
      <w:r>
        <w:rPr>
          <w:rFonts w:cs="Times New Roman"/>
          <w:szCs w:val="24"/>
        </w:rPr>
        <w:t>E</w:t>
      </w:r>
      <w:r w:rsidR="00023D49" w:rsidRPr="00FA559B">
        <w:rPr>
          <w:rFonts w:cs="Times New Roman"/>
          <w:szCs w:val="24"/>
        </w:rPr>
        <w:t>d</w:t>
      </w:r>
      <w:r>
        <w:rPr>
          <w:rFonts w:cs="Times New Roman"/>
          <w:szCs w:val="24"/>
        </w:rPr>
        <w:t>.</w:t>
      </w:r>
      <w:r w:rsidR="00023D49" w:rsidRPr="00FA559B">
        <w:rPr>
          <w:rFonts w:cs="Times New Roman"/>
          <w:szCs w:val="24"/>
        </w:rPr>
        <w:t xml:space="preserve"> </w:t>
      </w:r>
      <w:r w:rsidR="00023D49" w:rsidRPr="00FA559B">
        <w:rPr>
          <w:rFonts w:cs="Times New Roman"/>
          <w:i/>
          <w:szCs w:val="24"/>
        </w:rPr>
        <w:t>The Brontës and the World of the Arts</w:t>
      </w:r>
      <w:r>
        <w:rPr>
          <w:rFonts w:cs="Times New Roman"/>
          <w:szCs w:val="24"/>
        </w:rPr>
        <w:t>. Farnham: Ashgate, 2008.</w:t>
      </w:r>
    </w:p>
    <w:p w:rsidR="00F56C58" w:rsidRPr="00FA559B" w:rsidRDefault="00F56C58" w:rsidP="00FA559B">
      <w:pPr>
        <w:spacing w:line="360" w:lineRule="auto"/>
        <w:jc w:val="both"/>
        <w:rPr>
          <w:rFonts w:cs="Times New Roman"/>
          <w:szCs w:val="24"/>
        </w:rPr>
      </w:pPr>
    </w:p>
    <w:p w:rsidR="00F56C58" w:rsidRPr="00FA559B" w:rsidRDefault="00EE0A7A" w:rsidP="00FA559B">
      <w:pPr>
        <w:spacing w:line="360" w:lineRule="auto"/>
        <w:jc w:val="both"/>
        <w:rPr>
          <w:rFonts w:cs="Times New Roman"/>
          <w:szCs w:val="24"/>
        </w:rPr>
      </w:pPr>
      <w:r w:rsidRPr="00FA559B">
        <w:rPr>
          <w:rFonts w:cs="Times New Roman"/>
          <w:szCs w:val="24"/>
        </w:rPr>
        <w:t>Ingham,</w:t>
      </w:r>
      <w:r>
        <w:rPr>
          <w:rFonts w:cs="Times New Roman"/>
          <w:szCs w:val="24"/>
        </w:rPr>
        <w:t xml:space="preserve"> </w:t>
      </w:r>
      <w:r w:rsidR="00F56C58" w:rsidRPr="00FA559B">
        <w:rPr>
          <w:rFonts w:cs="Times New Roman"/>
          <w:szCs w:val="24"/>
        </w:rPr>
        <w:t>Patricia</w:t>
      </w:r>
      <w:r>
        <w:rPr>
          <w:rFonts w:cs="Times New Roman"/>
          <w:szCs w:val="24"/>
        </w:rPr>
        <w:t>.</w:t>
      </w:r>
      <w:r w:rsidR="00F56C58" w:rsidRPr="00FA559B">
        <w:rPr>
          <w:rFonts w:cs="Times New Roman"/>
          <w:szCs w:val="24"/>
        </w:rPr>
        <w:t xml:space="preserve"> </w:t>
      </w:r>
      <w:r w:rsidR="00F56C58" w:rsidRPr="00FA559B">
        <w:rPr>
          <w:rFonts w:cs="Times New Roman"/>
          <w:i/>
          <w:szCs w:val="24"/>
        </w:rPr>
        <w:t xml:space="preserve">The </w:t>
      </w:r>
      <w:r w:rsidR="00636DF8" w:rsidRPr="00FA559B">
        <w:rPr>
          <w:rFonts w:cs="Times New Roman"/>
          <w:i/>
          <w:szCs w:val="24"/>
        </w:rPr>
        <w:t>Brontës</w:t>
      </w:r>
      <w:r>
        <w:rPr>
          <w:rFonts w:cs="Times New Roman"/>
          <w:szCs w:val="24"/>
        </w:rPr>
        <w:t>.</w:t>
      </w:r>
      <w:r w:rsidR="00F56C58" w:rsidRPr="00FA559B">
        <w:rPr>
          <w:rFonts w:cs="Times New Roman"/>
          <w:i/>
          <w:szCs w:val="24"/>
        </w:rPr>
        <w:t xml:space="preserve"> </w:t>
      </w:r>
      <w:r w:rsidR="00F56C58" w:rsidRPr="00FA559B">
        <w:rPr>
          <w:rFonts w:cs="Times New Roman"/>
          <w:szCs w:val="24"/>
        </w:rPr>
        <w:t>Oxford Worl</w:t>
      </w:r>
      <w:r>
        <w:rPr>
          <w:rFonts w:cs="Times New Roman"/>
          <w:szCs w:val="24"/>
        </w:rPr>
        <w:t xml:space="preserve">d Classics, Authors in Context. </w:t>
      </w:r>
      <w:r w:rsidR="00F56C58" w:rsidRPr="00FA559B">
        <w:rPr>
          <w:rFonts w:cs="Times New Roman"/>
          <w:szCs w:val="24"/>
        </w:rPr>
        <w:t>O</w:t>
      </w:r>
      <w:r>
        <w:rPr>
          <w:rFonts w:cs="Times New Roman"/>
          <w:szCs w:val="24"/>
        </w:rPr>
        <w:t xml:space="preserve">xford </w:t>
      </w:r>
      <w:r w:rsidR="00F56C58" w:rsidRPr="00FA559B">
        <w:rPr>
          <w:rFonts w:cs="Times New Roman"/>
          <w:szCs w:val="24"/>
        </w:rPr>
        <w:t>UP, 2006</w:t>
      </w:r>
      <w:r>
        <w:rPr>
          <w:rFonts w:cs="Times New Roman"/>
          <w:szCs w:val="24"/>
        </w:rPr>
        <w:t>.</w:t>
      </w:r>
    </w:p>
    <w:p w:rsidR="00F56C58" w:rsidRPr="00FA559B" w:rsidRDefault="00F56C58" w:rsidP="00FA559B">
      <w:pPr>
        <w:spacing w:line="360" w:lineRule="auto"/>
        <w:jc w:val="both"/>
        <w:rPr>
          <w:rFonts w:cs="Times New Roman"/>
          <w:szCs w:val="24"/>
        </w:rPr>
      </w:pPr>
    </w:p>
    <w:p w:rsidR="00023D49" w:rsidRPr="00FA559B" w:rsidRDefault="00EE0A7A" w:rsidP="00023D49">
      <w:pPr>
        <w:spacing w:line="360" w:lineRule="auto"/>
        <w:jc w:val="both"/>
        <w:rPr>
          <w:rFonts w:cs="Times New Roman"/>
          <w:szCs w:val="24"/>
        </w:rPr>
      </w:pPr>
      <w:r w:rsidRPr="00FA559B">
        <w:rPr>
          <w:rFonts w:cs="Times New Roman"/>
          <w:szCs w:val="24"/>
        </w:rPr>
        <w:t>Kaplan,</w:t>
      </w:r>
      <w:r>
        <w:rPr>
          <w:rFonts w:cs="Times New Roman"/>
          <w:szCs w:val="24"/>
        </w:rPr>
        <w:t xml:space="preserve"> </w:t>
      </w:r>
      <w:r w:rsidR="00023D49" w:rsidRPr="00FA559B">
        <w:rPr>
          <w:rFonts w:cs="Times New Roman"/>
          <w:szCs w:val="24"/>
        </w:rPr>
        <w:t>Cora</w:t>
      </w:r>
      <w:r>
        <w:rPr>
          <w:rFonts w:cs="Times New Roman"/>
          <w:szCs w:val="24"/>
        </w:rPr>
        <w:t>.</w:t>
      </w:r>
      <w:r w:rsidR="00023D49" w:rsidRPr="00FA559B">
        <w:rPr>
          <w:rFonts w:cs="Times New Roman"/>
          <w:szCs w:val="24"/>
        </w:rPr>
        <w:t xml:space="preserve"> </w:t>
      </w:r>
      <w:r w:rsidR="00023D49" w:rsidRPr="00FA559B">
        <w:rPr>
          <w:rFonts w:cs="Times New Roman"/>
          <w:i/>
          <w:szCs w:val="24"/>
        </w:rPr>
        <w:t>Victoriana: Histories, Fictions, Criticism</w:t>
      </w:r>
      <w:r>
        <w:rPr>
          <w:rFonts w:cs="Times New Roman"/>
          <w:szCs w:val="24"/>
        </w:rPr>
        <w:t>.</w:t>
      </w:r>
      <w:r w:rsidR="00023D49" w:rsidRPr="00FA559B">
        <w:rPr>
          <w:rFonts w:cs="Times New Roman"/>
          <w:szCs w:val="24"/>
        </w:rPr>
        <w:t xml:space="preserve"> Edinburgh: Edinburgh UP, 2007</w:t>
      </w:r>
      <w:r>
        <w:rPr>
          <w:rFonts w:cs="Times New Roman"/>
          <w:szCs w:val="24"/>
        </w:rPr>
        <w:t>.</w:t>
      </w:r>
    </w:p>
    <w:p w:rsidR="00023D49" w:rsidRDefault="00023D49" w:rsidP="00023D49">
      <w:pPr>
        <w:spacing w:line="360" w:lineRule="auto"/>
        <w:jc w:val="both"/>
        <w:rPr>
          <w:rFonts w:cs="Times New Roman"/>
          <w:szCs w:val="24"/>
        </w:rPr>
      </w:pPr>
    </w:p>
    <w:p w:rsidR="0088403D" w:rsidRDefault="0088403D" w:rsidP="00023D49">
      <w:pPr>
        <w:spacing w:line="360" w:lineRule="auto"/>
        <w:jc w:val="both"/>
        <w:rPr>
          <w:rFonts w:cs="Times New Roman"/>
          <w:szCs w:val="24"/>
        </w:rPr>
      </w:pPr>
      <w:r>
        <w:rPr>
          <w:rFonts w:cs="Times New Roman"/>
          <w:szCs w:val="24"/>
        </w:rPr>
        <w:t xml:space="preserve">Kirchknopf, Andrea, </w:t>
      </w:r>
      <w:r>
        <w:rPr>
          <w:rFonts w:cs="Times New Roman"/>
          <w:i/>
          <w:szCs w:val="24"/>
        </w:rPr>
        <w:t>Rewriting the Victorians: Mod</w:t>
      </w:r>
      <w:r w:rsidR="009D4AEA">
        <w:rPr>
          <w:rFonts w:cs="Times New Roman"/>
          <w:i/>
          <w:szCs w:val="24"/>
        </w:rPr>
        <w:t>e</w:t>
      </w:r>
      <w:r>
        <w:rPr>
          <w:rFonts w:cs="Times New Roman"/>
          <w:i/>
          <w:szCs w:val="24"/>
        </w:rPr>
        <w:t>s of Literary Engagement with the 19</w:t>
      </w:r>
      <w:r w:rsidRPr="009E69C2">
        <w:rPr>
          <w:rFonts w:cs="Times New Roman"/>
          <w:i/>
          <w:szCs w:val="24"/>
          <w:vertAlign w:val="superscript"/>
        </w:rPr>
        <w:t>th</w:t>
      </w:r>
      <w:r>
        <w:rPr>
          <w:rFonts w:cs="Times New Roman"/>
          <w:i/>
          <w:szCs w:val="24"/>
        </w:rPr>
        <w:t xml:space="preserve"> Century</w:t>
      </w:r>
      <w:r w:rsidR="00610485">
        <w:rPr>
          <w:rFonts w:cs="Times New Roman"/>
          <w:szCs w:val="24"/>
        </w:rPr>
        <w:t xml:space="preserve">. </w:t>
      </w:r>
      <w:r>
        <w:rPr>
          <w:rFonts w:cs="Times New Roman"/>
          <w:szCs w:val="24"/>
        </w:rPr>
        <w:t xml:space="preserve">Jefferson, N.C. and </w:t>
      </w:r>
      <w:r w:rsidR="009D4AEA">
        <w:rPr>
          <w:rFonts w:cs="Times New Roman"/>
          <w:szCs w:val="24"/>
        </w:rPr>
        <w:t>London: McFarland &amp; Company, 2013</w:t>
      </w:r>
      <w:r w:rsidR="00610485">
        <w:rPr>
          <w:rFonts w:cs="Times New Roman"/>
          <w:szCs w:val="24"/>
        </w:rPr>
        <w:t>.</w:t>
      </w:r>
    </w:p>
    <w:p w:rsidR="006B31B6" w:rsidRPr="0088403D" w:rsidRDefault="006B31B6" w:rsidP="00023D49">
      <w:pPr>
        <w:spacing w:line="360" w:lineRule="auto"/>
        <w:jc w:val="both"/>
        <w:rPr>
          <w:rFonts w:cs="Times New Roman"/>
          <w:szCs w:val="24"/>
        </w:rPr>
      </w:pPr>
    </w:p>
    <w:p w:rsidR="00023D49" w:rsidRPr="00FA559B" w:rsidRDefault="00EE0A7A" w:rsidP="00023D49">
      <w:pPr>
        <w:spacing w:line="360" w:lineRule="auto"/>
        <w:jc w:val="both"/>
        <w:rPr>
          <w:rFonts w:cs="Times New Roman"/>
          <w:i/>
          <w:szCs w:val="24"/>
        </w:rPr>
      </w:pPr>
      <w:r w:rsidRPr="00FA559B">
        <w:rPr>
          <w:rFonts w:cs="Times New Roman"/>
          <w:szCs w:val="24"/>
        </w:rPr>
        <w:t>Livesey,</w:t>
      </w:r>
      <w:r>
        <w:rPr>
          <w:rFonts w:cs="Times New Roman"/>
          <w:szCs w:val="24"/>
        </w:rPr>
        <w:t xml:space="preserve"> </w:t>
      </w:r>
      <w:r w:rsidR="00023D49" w:rsidRPr="00FA559B">
        <w:rPr>
          <w:rFonts w:cs="Times New Roman"/>
          <w:szCs w:val="24"/>
        </w:rPr>
        <w:t>Ruth</w:t>
      </w:r>
      <w:r>
        <w:rPr>
          <w:rFonts w:cs="Times New Roman"/>
          <w:szCs w:val="24"/>
        </w:rPr>
        <w:t>.</w:t>
      </w:r>
      <w:r w:rsidR="00023D49" w:rsidRPr="00FA559B">
        <w:rPr>
          <w:rFonts w:cs="Times New Roman"/>
          <w:szCs w:val="24"/>
        </w:rPr>
        <w:t xml:space="preserve"> </w:t>
      </w:r>
      <w:r w:rsidR="00F848CB">
        <w:rPr>
          <w:rFonts w:cs="Times New Roman"/>
          <w:szCs w:val="24"/>
        </w:rPr>
        <w:t xml:space="preserve">‘Communicating with </w:t>
      </w:r>
      <w:r w:rsidR="00F848CB">
        <w:rPr>
          <w:rFonts w:cs="Times New Roman"/>
          <w:i/>
          <w:szCs w:val="24"/>
        </w:rPr>
        <w:t>Jane Eyre</w:t>
      </w:r>
      <w:r w:rsidR="00F848CB">
        <w:rPr>
          <w:rFonts w:cs="Times New Roman"/>
          <w:szCs w:val="24"/>
        </w:rPr>
        <w:t>: Stagecoach, Mail, and the Tory Nation</w:t>
      </w:r>
      <w:r w:rsidR="009003C8">
        <w:rPr>
          <w:rFonts w:cs="Times New Roman"/>
          <w:szCs w:val="24"/>
        </w:rPr>
        <w:t>.</w:t>
      </w:r>
      <w:r w:rsidR="00F848CB">
        <w:rPr>
          <w:rFonts w:cs="Times New Roman"/>
          <w:szCs w:val="24"/>
        </w:rPr>
        <w:t xml:space="preserve">’ </w:t>
      </w:r>
      <w:r w:rsidR="00023D49" w:rsidRPr="00FA559B">
        <w:rPr>
          <w:rFonts w:cs="Times New Roman"/>
          <w:i/>
          <w:szCs w:val="24"/>
        </w:rPr>
        <w:t>Victorian Studies</w:t>
      </w:r>
      <w:r w:rsidR="00BB5F29">
        <w:rPr>
          <w:rFonts w:cs="Times New Roman"/>
          <w:i/>
          <w:szCs w:val="24"/>
        </w:rPr>
        <w:t xml:space="preserve"> </w:t>
      </w:r>
      <w:r w:rsidR="009003C8">
        <w:rPr>
          <w:rFonts w:cs="Times New Roman"/>
          <w:szCs w:val="24"/>
        </w:rPr>
        <w:t>33.4</w:t>
      </w:r>
      <w:r w:rsidR="00BB5F29">
        <w:rPr>
          <w:rFonts w:cs="Times New Roman"/>
          <w:i/>
          <w:szCs w:val="24"/>
        </w:rPr>
        <w:t xml:space="preserve"> </w:t>
      </w:r>
      <w:r w:rsidR="009003C8">
        <w:rPr>
          <w:rFonts w:cs="Times New Roman"/>
          <w:szCs w:val="24"/>
        </w:rPr>
        <w:t>(</w:t>
      </w:r>
      <w:r w:rsidR="00BB5F29">
        <w:rPr>
          <w:rFonts w:cs="Times New Roman"/>
          <w:szCs w:val="24"/>
        </w:rPr>
        <w:t xml:space="preserve">Summer </w:t>
      </w:r>
      <w:r w:rsidR="009003C8">
        <w:rPr>
          <w:rFonts w:cs="Times New Roman"/>
          <w:szCs w:val="24"/>
        </w:rPr>
        <w:t>2011):</w:t>
      </w:r>
      <w:r w:rsidR="00BB5F29">
        <w:rPr>
          <w:rFonts w:cs="Times New Roman"/>
          <w:szCs w:val="24"/>
        </w:rPr>
        <w:t xml:space="preserve"> 615-638.</w:t>
      </w:r>
    </w:p>
    <w:p w:rsidR="00023D49" w:rsidRDefault="00023D49" w:rsidP="00023D49">
      <w:pPr>
        <w:spacing w:line="360" w:lineRule="auto"/>
        <w:jc w:val="both"/>
        <w:rPr>
          <w:rFonts w:cs="Times New Roman"/>
          <w:szCs w:val="24"/>
        </w:rPr>
      </w:pPr>
    </w:p>
    <w:p w:rsidR="00B7196C" w:rsidRDefault="00B7196C" w:rsidP="00023D49">
      <w:pPr>
        <w:spacing w:line="360" w:lineRule="auto"/>
        <w:jc w:val="both"/>
        <w:rPr>
          <w:rFonts w:cs="Times New Roman"/>
          <w:szCs w:val="24"/>
        </w:rPr>
      </w:pPr>
      <w:r>
        <w:rPr>
          <w:rFonts w:cs="Times New Roman"/>
          <w:szCs w:val="24"/>
        </w:rPr>
        <w:t xml:space="preserve">Lutz, Deborah. </w:t>
      </w:r>
      <w:r>
        <w:rPr>
          <w:rFonts w:cs="Times New Roman"/>
          <w:i/>
          <w:szCs w:val="24"/>
        </w:rPr>
        <w:t xml:space="preserve">The Brontë Cabinet: </w:t>
      </w:r>
      <w:r w:rsidR="006B31B6">
        <w:rPr>
          <w:rFonts w:cs="Times New Roman"/>
          <w:i/>
          <w:szCs w:val="24"/>
        </w:rPr>
        <w:t>Three Lives in Nine Objects</w:t>
      </w:r>
      <w:r w:rsidR="006B31B6">
        <w:rPr>
          <w:rFonts w:cs="Times New Roman"/>
          <w:szCs w:val="24"/>
        </w:rPr>
        <w:t>. New York: Norton, 2015.</w:t>
      </w:r>
    </w:p>
    <w:p w:rsidR="006B31B6" w:rsidRPr="006B31B6" w:rsidRDefault="006B31B6" w:rsidP="00023D49">
      <w:pPr>
        <w:spacing w:line="360" w:lineRule="auto"/>
        <w:jc w:val="both"/>
        <w:rPr>
          <w:rFonts w:cs="Times New Roman"/>
          <w:szCs w:val="24"/>
        </w:rPr>
      </w:pPr>
    </w:p>
    <w:p w:rsidR="00BB5F29" w:rsidRDefault="00EE0A7A" w:rsidP="00023D49">
      <w:r w:rsidRPr="00FA559B">
        <w:t>Marcus,</w:t>
      </w:r>
      <w:r>
        <w:t xml:space="preserve"> </w:t>
      </w:r>
      <w:r w:rsidR="00023D49" w:rsidRPr="00FA559B">
        <w:t>Sharon</w:t>
      </w:r>
      <w:r>
        <w:t>.</w:t>
      </w:r>
      <w:r w:rsidR="00023D49" w:rsidRPr="00FA559B">
        <w:t xml:space="preserve"> </w:t>
      </w:r>
      <w:r w:rsidR="00023D49" w:rsidRPr="00023D49">
        <w:rPr>
          <w:i/>
        </w:rPr>
        <w:t>Between Women: Friendship, Desire, and Marriage in Victorian England</w:t>
      </w:r>
      <w:r w:rsidR="00BB5F29">
        <w:t>.</w:t>
      </w:r>
    </w:p>
    <w:p w:rsidR="00023D49" w:rsidRPr="00FA559B" w:rsidRDefault="00EE0A7A" w:rsidP="00023D49">
      <w:r>
        <w:t>Princeton, NJ: Princeton UP, 2007.</w:t>
      </w:r>
    </w:p>
    <w:p w:rsidR="00023D49" w:rsidRDefault="00023D49" w:rsidP="00023D49">
      <w:pPr>
        <w:spacing w:line="360" w:lineRule="auto"/>
        <w:jc w:val="both"/>
        <w:rPr>
          <w:rFonts w:cs="Times New Roman"/>
          <w:szCs w:val="24"/>
        </w:rPr>
      </w:pPr>
    </w:p>
    <w:p w:rsidR="00023D49" w:rsidRDefault="00EE0A7A" w:rsidP="00023D49">
      <w:pPr>
        <w:spacing w:line="360" w:lineRule="auto"/>
        <w:jc w:val="both"/>
        <w:rPr>
          <w:rFonts w:cs="Times New Roman"/>
          <w:szCs w:val="24"/>
        </w:rPr>
      </w:pPr>
      <w:r>
        <w:rPr>
          <w:rFonts w:cs="Times New Roman"/>
          <w:szCs w:val="24"/>
        </w:rPr>
        <w:t xml:space="preserve">Miller, </w:t>
      </w:r>
      <w:r w:rsidR="00023D49">
        <w:rPr>
          <w:rFonts w:cs="Times New Roman"/>
          <w:szCs w:val="24"/>
        </w:rPr>
        <w:t>Lucasta</w:t>
      </w:r>
      <w:r>
        <w:rPr>
          <w:rFonts w:cs="Times New Roman"/>
          <w:szCs w:val="24"/>
        </w:rPr>
        <w:t>.</w:t>
      </w:r>
      <w:r w:rsidR="00023D49">
        <w:rPr>
          <w:rFonts w:cs="Times New Roman"/>
          <w:szCs w:val="24"/>
        </w:rPr>
        <w:t xml:space="preserve"> </w:t>
      </w:r>
      <w:r w:rsidR="00023D49" w:rsidRPr="008A01E0">
        <w:rPr>
          <w:rFonts w:cs="Times New Roman"/>
          <w:i/>
          <w:szCs w:val="24"/>
        </w:rPr>
        <w:t>The Brontë Myth</w:t>
      </w:r>
      <w:r>
        <w:rPr>
          <w:rFonts w:cs="Times New Roman"/>
          <w:szCs w:val="24"/>
        </w:rPr>
        <w:t xml:space="preserve">. </w:t>
      </w:r>
      <w:r w:rsidR="00BB5F29">
        <w:rPr>
          <w:rFonts w:cs="Times New Roman"/>
          <w:szCs w:val="24"/>
        </w:rPr>
        <w:t xml:space="preserve">London: Jonathan Cape, </w:t>
      </w:r>
      <w:r>
        <w:rPr>
          <w:rFonts w:cs="Times New Roman"/>
          <w:szCs w:val="24"/>
        </w:rPr>
        <w:t>2001.</w:t>
      </w:r>
    </w:p>
    <w:p w:rsidR="00ED1D56" w:rsidRDefault="00ED1D56" w:rsidP="00023D49">
      <w:pPr>
        <w:spacing w:line="360" w:lineRule="auto"/>
        <w:jc w:val="both"/>
        <w:rPr>
          <w:rFonts w:cs="Times New Roman"/>
          <w:szCs w:val="24"/>
        </w:rPr>
      </w:pPr>
    </w:p>
    <w:p w:rsidR="004247AB" w:rsidRDefault="004247AB" w:rsidP="00023D49">
      <w:pPr>
        <w:spacing w:line="360" w:lineRule="auto"/>
        <w:jc w:val="both"/>
        <w:rPr>
          <w:rFonts w:cs="Times New Roman"/>
          <w:szCs w:val="24"/>
        </w:rPr>
      </w:pPr>
      <w:r>
        <w:rPr>
          <w:rFonts w:cs="Times New Roman"/>
          <w:szCs w:val="24"/>
        </w:rPr>
        <w:lastRenderedPageBreak/>
        <w:t xml:space="preserve">Plotz, John. </w:t>
      </w:r>
      <w:r>
        <w:rPr>
          <w:rFonts w:cs="Times New Roman"/>
          <w:i/>
          <w:szCs w:val="24"/>
        </w:rPr>
        <w:t>The Crowd: British Literature and Public Politics</w:t>
      </w:r>
      <w:r>
        <w:rPr>
          <w:rFonts w:cs="Times New Roman"/>
          <w:szCs w:val="24"/>
        </w:rPr>
        <w:t>. Berkeley: University of California Press, 2000.</w:t>
      </w:r>
    </w:p>
    <w:p w:rsidR="004247AB" w:rsidRPr="004247AB" w:rsidRDefault="004247AB" w:rsidP="00023D49">
      <w:pPr>
        <w:spacing w:line="360" w:lineRule="auto"/>
        <w:jc w:val="both"/>
        <w:rPr>
          <w:rFonts w:cs="Times New Roman"/>
          <w:szCs w:val="24"/>
        </w:rPr>
      </w:pPr>
    </w:p>
    <w:p w:rsidR="00023D49" w:rsidRPr="00FA559B" w:rsidRDefault="00EE0A7A" w:rsidP="00023D49">
      <w:pPr>
        <w:spacing w:line="360" w:lineRule="auto"/>
        <w:jc w:val="both"/>
        <w:rPr>
          <w:rFonts w:cs="Times New Roman"/>
          <w:szCs w:val="24"/>
        </w:rPr>
      </w:pPr>
      <w:r w:rsidRPr="00FA559B">
        <w:rPr>
          <w:rFonts w:cs="Times New Roman"/>
          <w:szCs w:val="24"/>
        </w:rPr>
        <w:t>Poore,</w:t>
      </w:r>
      <w:r>
        <w:rPr>
          <w:rFonts w:cs="Times New Roman"/>
          <w:szCs w:val="24"/>
        </w:rPr>
        <w:t xml:space="preserve"> </w:t>
      </w:r>
      <w:r w:rsidR="00023D49" w:rsidRPr="00FA559B">
        <w:rPr>
          <w:rFonts w:cs="Times New Roman"/>
          <w:szCs w:val="24"/>
        </w:rPr>
        <w:t>Benjamin</w:t>
      </w:r>
      <w:r>
        <w:rPr>
          <w:rFonts w:cs="Times New Roman"/>
          <w:szCs w:val="24"/>
        </w:rPr>
        <w:t>.</w:t>
      </w:r>
      <w:r w:rsidR="00023D49" w:rsidRPr="00FA559B">
        <w:rPr>
          <w:rFonts w:cs="Times New Roman"/>
          <w:szCs w:val="24"/>
        </w:rPr>
        <w:t xml:space="preserve"> </w:t>
      </w:r>
      <w:r w:rsidR="00023D49" w:rsidRPr="00FA559B">
        <w:rPr>
          <w:rFonts w:cs="Times New Roman"/>
          <w:i/>
          <w:szCs w:val="24"/>
        </w:rPr>
        <w:t>Heritage, Nostalgia and Modern British Theatre: Staging the Victorians</w:t>
      </w:r>
      <w:r>
        <w:rPr>
          <w:rFonts w:cs="Times New Roman"/>
          <w:szCs w:val="24"/>
        </w:rPr>
        <w:t>.</w:t>
      </w:r>
      <w:r w:rsidR="00023D49" w:rsidRPr="00FA559B">
        <w:rPr>
          <w:rFonts w:cs="Times New Roman"/>
          <w:i/>
          <w:szCs w:val="24"/>
        </w:rPr>
        <w:t xml:space="preserve"> </w:t>
      </w:r>
      <w:r>
        <w:rPr>
          <w:rFonts w:cs="Times New Roman"/>
          <w:szCs w:val="24"/>
        </w:rPr>
        <w:t>Basingstoke: Palgrave Macmillan, 2012.</w:t>
      </w:r>
    </w:p>
    <w:p w:rsidR="00023D49" w:rsidRDefault="00023D49" w:rsidP="00FA559B">
      <w:pPr>
        <w:spacing w:line="360" w:lineRule="auto"/>
        <w:jc w:val="both"/>
        <w:rPr>
          <w:rFonts w:cs="Times New Roman"/>
          <w:szCs w:val="24"/>
        </w:rPr>
      </w:pPr>
    </w:p>
    <w:p w:rsidR="005250F9" w:rsidRDefault="00EE0A7A" w:rsidP="00FA559B">
      <w:pPr>
        <w:spacing w:line="360" w:lineRule="auto"/>
        <w:jc w:val="both"/>
        <w:rPr>
          <w:rFonts w:cs="Times New Roman"/>
          <w:szCs w:val="24"/>
        </w:rPr>
      </w:pPr>
      <w:r w:rsidRPr="000A67DA">
        <w:rPr>
          <w:rFonts w:cs="Times New Roman"/>
          <w:szCs w:val="24"/>
        </w:rPr>
        <w:t>Pyrhȍnen,</w:t>
      </w:r>
      <w:r>
        <w:rPr>
          <w:rFonts w:cs="Times New Roman"/>
          <w:szCs w:val="24"/>
        </w:rPr>
        <w:t xml:space="preserve"> </w:t>
      </w:r>
      <w:r w:rsidR="005250F9" w:rsidRPr="000A67DA">
        <w:rPr>
          <w:rFonts w:cs="Times New Roman"/>
          <w:szCs w:val="24"/>
        </w:rPr>
        <w:t>Heta</w:t>
      </w:r>
      <w:r>
        <w:rPr>
          <w:rFonts w:cs="Times New Roman"/>
          <w:szCs w:val="24"/>
        </w:rPr>
        <w:t>.</w:t>
      </w:r>
      <w:r w:rsidR="005250F9" w:rsidRPr="000A67DA">
        <w:rPr>
          <w:rFonts w:cs="Times New Roman"/>
          <w:szCs w:val="24"/>
        </w:rPr>
        <w:t xml:space="preserve"> </w:t>
      </w:r>
      <w:r w:rsidR="005250F9" w:rsidRPr="000A67DA">
        <w:rPr>
          <w:rFonts w:cs="Times New Roman"/>
          <w:i/>
          <w:szCs w:val="24"/>
        </w:rPr>
        <w:t xml:space="preserve">Bluebeard Gothic: </w:t>
      </w:r>
      <w:r w:rsidR="005250F9" w:rsidRPr="000A67DA">
        <w:rPr>
          <w:rFonts w:cs="Times New Roman"/>
          <w:szCs w:val="24"/>
        </w:rPr>
        <w:t xml:space="preserve">Jane Eyre </w:t>
      </w:r>
      <w:r w:rsidR="005250F9" w:rsidRPr="000A67DA">
        <w:rPr>
          <w:rFonts w:cs="Times New Roman"/>
          <w:i/>
          <w:szCs w:val="24"/>
        </w:rPr>
        <w:t>and Her Progeny</w:t>
      </w:r>
      <w:r>
        <w:rPr>
          <w:rFonts w:cs="Times New Roman"/>
          <w:szCs w:val="24"/>
        </w:rPr>
        <w:t>.</w:t>
      </w:r>
      <w:r w:rsidR="005250F9" w:rsidRPr="000A67DA">
        <w:rPr>
          <w:rFonts w:cs="Times New Roman"/>
          <w:szCs w:val="24"/>
        </w:rPr>
        <w:t xml:space="preserve"> </w:t>
      </w:r>
      <w:r w:rsidR="005250F9">
        <w:rPr>
          <w:rFonts w:cs="Times New Roman"/>
          <w:szCs w:val="24"/>
        </w:rPr>
        <w:t xml:space="preserve">Toronto: University of Toronto Press, </w:t>
      </w:r>
      <w:r>
        <w:rPr>
          <w:rFonts w:cs="Times New Roman"/>
          <w:szCs w:val="24"/>
        </w:rPr>
        <w:t>2010.</w:t>
      </w:r>
    </w:p>
    <w:p w:rsidR="00110D6C" w:rsidRDefault="00110D6C" w:rsidP="00FA559B">
      <w:pPr>
        <w:spacing w:line="360" w:lineRule="auto"/>
        <w:jc w:val="both"/>
        <w:rPr>
          <w:rFonts w:cs="Times New Roman"/>
          <w:szCs w:val="24"/>
        </w:rPr>
      </w:pPr>
    </w:p>
    <w:p w:rsidR="00110D6C" w:rsidRPr="00110D6C" w:rsidRDefault="00110D6C" w:rsidP="00FA559B">
      <w:pPr>
        <w:spacing w:line="360" w:lineRule="auto"/>
        <w:jc w:val="both"/>
        <w:rPr>
          <w:rFonts w:cs="Times New Roman"/>
          <w:szCs w:val="24"/>
        </w:rPr>
      </w:pPr>
      <w:r>
        <w:rPr>
          <w:rFonts w:cs="Times New Roman"/>
          <w:szCs w:val="24"/>
        </w:rPr>
        <w:t xml:space="preserve">Ratchford, Fannie. </w:t>
      </w:r>
      <w:r w:rsidRPr="00FA559B">
        <w:rPr>
          <w:rFonts w:cs="Times New Roman"/>
          <w:i/>
          <w:szCs w:val="24"/>
        </w:rPr>
        <w:t>The Brontës</w:t>
      </w:r>
      <w:r>
        <w:rPr>
          <w:rFonts w:cs="Times New Roman"/>
          <w:i/>
          <w:szCs w:val="24"/>
        </w:rPr>
        <w:t>’ Web of Childhood</w:t>
      </w:r>
      <w:r>
        <w:rPr>
          <w:rFonts w:cs="Times New Roman"/>
          <w:szCs w:val="24"/>
        </w:rPr>
        <w:t>. London: Oxford UP, 1941.</w:t>
      </w:r>
    </w:p>
    <w:p w:rsidR="00110D6C" w:rsidRDefault="00110D6C" w:rsidP="00FA559B">
      <w:pPr>
        <w:spacing w:line="360" w:lineRule="auto"/>
        <w:jc w:val="both"/>
        <w:rPr>
          <w:rFonts w:cs="Times New Roman"/>
          <w:szCs w:val="24"/>
        </w:rPr>
      </w:pPr>
    </w:p>
    <w:p w:rsidR="00023D49" w:rsidRDefault="00D154EA" w:rsidP="00FA559B">
      <w:pPr>
        <w:spacing w:line="360" w:lineRule="auto"/>
        <w:jc w:val="both"/>
        <w:rPr>
          <w:rFonts w:cs="Times New Roman"/>
          <w:szCs w:val="24"/>
        </w:rPr>
      </w:pPr>
      <w:r w:rsidRPr="00FA559B">
        <w:rPr>
          <w:rFonts w:cs="Times New Roman"/>
          <w:szCs w:val="24"/>
        </w:rPr>
        <w:t>Regis</w:t>
      </w:r>
      <w:r>
        <w:rPr>
          <w:rFonts w:cs="Times New Roman"/>
          <w:szCs w:val="24"/>
        </w:rPr>
        <w:t>,</w:t>
      </w:r>
      <w:r w:rsidRPr="00FA559B">
        <w:rPr>
          <w:rFonts w:cs="Times New Roman"/>
          <w:szCs w:val="24"/>
        </w:rPr>
        <w:t xml:space="preserve"> </w:t>
      </w:r>
      <w:r w:rsidR="00023D49" w:rsidRPr="00FA559B">
        <w:rPr>
          <w:rFonts w:cs="Times New Roman"/>
          <w:szCs w:val="24"/>
        </w:rPr>
        <w:t>Amber K. and Deborah Wynne</w:t>
      </w:r>
      <w:r w:rsidR="00EE0A7A">
        <w:rPr>
          <w:rFonts w:cs="Times New Roman"/>
          <w:szCs w:val="24"/>
        </w:rPr>
        <w:t>. Ed.</w:t>
      </w:r>
      <w:r w:rsidR="00023D49" w:rsidRPr="00FA559B">
        <w:rPr>
          <w:rFonts w:cs="Times New Roman"/>
          <w:szCs w:val="24"/>
        </w:rPr>
        <w:t xml:space="preserve"> </w:t>
      </w:r>
      <w:r w:rsidR="00023D49" w:rsidRPr="00FA559B">
        <w:rPr>
          <w:rFonts w:cs="Times New Roman"/>
          <w:i/>
          <w:szCs w:val="24"/>
        </w:rPr>
        <w:t>Charlotte Brontë: Legacies and Afterlives</w:t>
      </w:r>
      <w:r w:rsidR="00EE0A7A">
        <w:rPr>
          <w:rFonts w:cs="Times New Roman"/>
          <w:szCs w:val="24"/>
        </w:rPr>
        <w:t xml:space="preserve">. Forthcoming, </w:t>
      </w:r>
      <w:r w:rsidR="00023D49" w:rsidRPr="00FA559B">
        <w:rPr>
          <w:rFonts w:cs="Times New Roman"/>
          <w:szCs w:val="24"/>
        </w:rPr>
        <w:t>Manchester: M</w:t>
      </w:r>
      <w:r w:rsidR="00EE0A7A">
        <w:rPr>
          <w:rFonts w:cs="Times New Roman"/>
          <w:szCs w:val="24"/>
        </w:rPr>
        <w:t>anchester UP, 2016.</w:t>
      </w:r>
    </w:p>
    <w:p w:rsidR="00023D49" w:rsidRDefault="00023D49" w:rsidP="00FA559B">
      <w:pPr>
        <w:spacing w:line="360" w:lineRule="auto"/>
        <w:jc w:val="both"/>
        <w:rPr>
          <w:rFonts w:cs="Times New Roman"/>
          <w:szCs w:val="24"/>
        </w:rPr>
      </w:pPr>
    </w:p>
    <w:p w:rsidR="00023D49" w:rsidRPr="00FA559B" w:rsidRDefault="00EE0A7A" w:rsidP="00023D49">
      <w:pPr>
        <w:spacing w:line="360" w:lineRule="auto"/>
        <w:jc w:val="both"/>
        <w:rPr>
          <w:rFonts w:cs="Times New Roman"/>
          <w:szCs w:val="24"/>
        </w:rPr>
      </w:pPr>
      <w:r w:rsidRPr="00FA559B">
        <w:rPr>
          <w:rFonts w:cs="Times New Roman"/>
          <w:szCs w:val="24"/>
        </w:rPr>
        <w:t xml:space="preserve">Robles, </w:t>
      </w:r>
      <w:r w:rsidR="00023D49" w:rsidRPr="00FA559B">
        <w:rPr>
          <w:rFonts w:cs="Times New Roman"/>
          <w:szCs w:val="24"/>
        </w:rPr>
        <w:t>Mario Ortiz</w:t>
      </w:r>
      <w:r>
        <w:rPr>
          <w:rFonts w:cs="Times New Roman"/>
          <w:szCs w:val="24"/>
        </w:rPr>
        <w:t>.</w:t>
      </w:r>
      <w:r w:rsidR="00023D49" w:rsidRPr="00FA559B">
        <w:rPr>
          <w:rFonts w:cs="Times New Roman"/>
          <w:szCs w:val="24"/>
        </w:rPr>
        <w:t xml:space="preserve"> </w:t>
      </w:r>
      <w:r w:rsidR="00023D49" w:rsidRPr="00FA559B">
        <w:rPr>
          <w:rFonts w:cs="Times New Roman"/>
          <w:i/>
          <w:szCs w:val="24"/>
        </w:rPr>
        <w:t>The Novel as Event</w:t>
      </w:r>
      <w:r>
        <w:rPr>
          <w:rFonts w:cs="Times New Roman"/>
          <w:szCs w:val="24"/>
        </w:rPr>
        <w:t xml:space="preserve">. </w:t>
      </w:r>
      <w:r w:rsidR="00023D49" w:rsidRPr="00FA559B">
        <w:rPr>
          <w:rFonts w:cs="Times New Roman"/>
          <w:szCs w:val="24"/>
        </w:rPr>
        <w:t>Ann Arbor: Uni</w:t>
      </w:r>
      <w:r>
        <w:rPr>
          <w:rFonts w:cs="Times New Roman"/>
          <w:szCs w:val="24"/>
        </w:rPr>
        <w:t>versity of Michigan Press, 2010.</w:t>
      </w:r>
    </w:p>
    <w:p w:rsidR="005250F9" w:rsidRDefault="005250F9" w:rsidP="00FA559B">
      <w:pPr>
        <w:spacing w:line="360" w:lineRule="auto"/>
        <w:jc w:val="both"/>
        <w:rPr>
          <w:rFonts w:cs="Times New Roman"/>
          <w:szCs w:val="24"/>
        </w:rPr>
      </w:pPr>
    </w:p>
    <w:p w:rsidR="00023D49" w:rsidRDefault="00EE0A7A" w:rsidP="00FA559B">
      <w:pPr>
        <w:spacing w:line="360" w:lineRule="auto"/>
        <w:jc w:val="both"/>
        <w:rPr>
          <w:rFonts w:cs="Times New Roman"/>
          <w:szCs w:val="24"/>
        </w:rPr>
      </w:pPr>
      <w:r w:rsidRPr="000A67DA">
        <w:rPr>
          <w:rFonts w:cs="Times New Roman"/>
          <w:szCs w:val="24"/>
        </w:rPr>
        <w:t>Rubik</w:t>
      </w:r>
      <w:r>
        <w:rPr>
          <w:rFonts w:cs="Times New Roman"/>
          <w:szCs w:val="24"/>
        </w:rPr>
        <w:t>,</w:t>
      </w:r>
      <w:r w:rsidRPr="000A67DA">
        <w:rPr>
          <w:rFonts w:cs="Times New Roman"/>
          <w:szCs w:val="24"/>
        </w:rPr>
        <w:t xml:space="preserve"> </w:t>
      </w:r>
      <w:r w:rsidR="005250F9" w:rsidRPr="000A67DA">
        <w:rPr>
          <w:rFonts w:cs="Times New Roman"/>
          <w:szCs w:val="24"/>
        </w:rPr>
        <w:t>Margarete and Elke Mettinge-Scartmann</w:t>
      </w:r>
      <w:r>
        <w:rPr>
          <w:rFonts w:cs="Times New Roman"/>
          <w:szCs w:val="24"/>
        </w:rPr>
        <w:t>.</w:t>
      </w:r>
      <w:r w:rsidR="005250F9" w:rsidRPr="000A67DA">
        <w:rPr>
          <w:rFonts w:cs="Times New Roman"/>
          <w:szCs w:val="24"/>
        </w:rPr>
        <w:t xml:space="preserve"> </w:t>
      </w:r>
      <w:r>
        <w:rPr>
          <w:rFonts w:cs="Times New Roman"/>
          <w:szCs w:val="24"/>
        </w:rPr>
        <w:t>E</w:t>
      </w:r>
      <w:r w:rsidR="005250F9" w:rsidRPr="000A67DA">
        <w:rPr>
          <w:rFonts w:cs="Times New Roman"/>
          <w:szCs w:val="24"/>
        </w:rPr>
        <w:t>d</w:t>
      </w:r>
      <w:r>
        <w:rPr>
          <w:rFonts w:cs="Times New Roman"/>
          <w:szCs w:val="24"/>
        </w:rPr>
        <w:t>.</w:t>
      </w:r>
      <w:r w:rsidR="005250F9" w:rsidRPr="000A67DA">
        <w:rPr>
          <w:rFonts w:cs="Times New Roman"/>
          <w:szCs w:val="24"/>
        </w:rPr>
        <w:t xml:space="preserve"> </w:t>
      </w:r>
      <w:r w:rsidR="005250F9" w:rsidRPr="000A67DA">
        <w:rPr>
          <w:rFonts w:cs="Times New Roman"/>
          <w:i/>
          <w:szCs w:val="24"/>
        </w:rPr>
        <w:t xml:space="preserve">A Breath of Fresh Eyre: Intertextual and Intermedial Reworkings of </w:t>
      </w:r>
      <w:r w:rsidR="005250F9" w:rsidRPr="000A67DA">
        <w:rPr>
          <w:rFonts w:cs="Times New Roman"/>
          <w:szCs w:val="24"/>
        </w:rPr>
        <w:t>Jane Eyre</w:t>
      </w:r>
      <w:r>
        <w:rPr>
          <w:rFonts w:cs="Times New Roman"/>
          <w:szCs w:val="24"/>
        </w:rPr>
        <w:t>.</w:t>
      </w:r>
      <w:r w:rsidR="005250F9" w:rsidRPr="000A67DA">
        <w:rPr>
          <w:rFonts w:cs="Times New Roman"/>
          <w:szCs w:val="24"/>
        </w:rPr>
        <w:t xml:space="preserve"> </w:t>
      </w:r>
      <w:r w:rsidR="005250F9">
        <w:rPr>
          <w:rFonts w:cs="Times New Roman"/>
          <w:szCs w:val="24"/>
        </w:rPr>
        <w:t>Amste</w:t>
      </w:r>
      <w:r>
        <w:rPr>
          <w:rFonts w:cs="Times New Roman"/>
          <w:szCs w:val="24"/>
        </w:rPr>
        <w:t>rdam: Rodopi, 2007.</w:t>
      </w:r>
    </w:p>
    <w:p w:rsidR="00ED2C40" w:rsidRDefault="00ED2C40" w:rsidP="00FA559B">
      <w:pPr>
        <w:spacing w:line="360" w:lineRule="auto"/>
        <w:jc w:val="both"/>
        <w:rPr>
          <w:rFonts w:cs="Times New Roman"/>
          <w:szCs w:val="24"/>
        </w:rPr>
      </w:pPr>
    </w:p>
    <w:p w:rsidR="009D4AEA" w:rsidRPr="009D4AEA" w:rsidRDefault="009D4AEA" w:rsidP="009D4AEA">
      <w:pPr>
        <w:spacing w:line="360" w:lineRule="auto"/>
        <w:jc w:val="both"/>
        <w:rPr>
          <w:rFonts w:cs="Times New Roman"/>
          <w:szCs w:val="24"/>
        </w:rPr>
      </w:pPr>
      <w:r>
        <w:rPr>
          <w:rFonts w:cs="Times New Roman"/>
          <w:szCs w:val="24"/>
        </w:rPr>
        <w:t xml:space="preserve">Shears, Jonathon and Jen Harrison, ‘The Ideas in Thing Town: </w:t>
      </w:r>
      <w:r>
        <w:rPr>
          <w:rFonts w:cs="Times New Roman"/>
          <w:i/>
          <w:szCs w:val="24"/>
        </w:rPr>
        <w:t>Villette</w:t>
      </w:r>
      <w:r>
        <w:rPr>
          <w:rFonts w:cs="Times New Roman"/>
          <w:szCs w:val="24"/>
        </w:rPr>
        <w:t xml:space="preserve">, Art and Moveable Objects.’ </w:t>
      </w:r>
      <w:r>
        <w:rPr>
          <w:rFonts w:cs="Times New Roman"/>
          <w:i/>
          <w:szCs w:val="24"/>
        </w:rPr>
        <w:t>Literary Bric-à-Brac and the Victorians: From Commodities to Oddities</w:t>
      </w:r>
      <w:r>
        <w:rPr>
          <w:rFonts w:cs="Times New Roman"/>
          <w:szCs w:val="24"/>
        </w:rPr>
        <w:t>. Ed. Jonathon Shears and Jen Harrison. Farnham: Ashgate, 2013. 179-194.</w:t>
      </w:r>
    </w:p>
    <w:p w:rsidR="009D4AEA" w:rsidRDefault="009D4AEA" w:rsidP="00ED2C40">
      <w:pPr>
        <w:spacing w:line="360" w:lineRule="auto"/>
        <w:jc w:val="both"/>
        <w:rPr>
          <w:rFonts w:cs="Times New Roman"/>
          <w:szCs w:val="24"/>
        </w:rPr>
      </w:pPr>
    </w:p>
    <w:p w:rsidR="00D8696A" w:rsidRPr="00D8696A" w:rsidRDefault="00D8696A" w:rsidP="00D8696A">
      <w:pPr>
        <w:spacing w:line="360" w:lineRule="auto"/>
        <w:jc w:val="both"/>
        <w:rPr>
          <w:rFonts w:cs="Times New Roman"/>
          <w:b/>
          <w:szCs w:val="24"/>
          <w:shd w:val="clear" w:color="auto" w:fill="FFFFFF"/>
        </w:rPr>
      </w:pPr>
      <w:r>
        <w:rPr>
          <w:rFonts w:cs="Times New Roman"/>
          <w:szCs w:val="24"/>
        </w:rPr>
        <w:t xml:space="preserve">Shuttleworth, Sally. </w:t>
      </w:r>
      <w:r w:rsidRPr="00D8696A">
        <w:rPr>
          <w:rFonts w:eastAsia="Times New Roman" w:cs="Times New Roman"/>
          <w:i/>
          <w:szCs w:val="24"/>
          <w:lang w:eastAsia="en-GB"/>
        </w:rPr>
        <w:t>Charlotte Brontë and Victorian Psychology</w:t>
      </w:r>
      <w:r>
        <w:rPr>
          <w:rFonts w:eastAsia="Times New Roman" w:cs="Times New Roman"/>
          <w:szCs w:val="24"/>
          <w:lang w:eastAsia="en-GB"/>
        </w:rPr>
        <w:t>. Cambridge: Cambridge University Press, 1996</w:t>
      </w:r>
    </w:p>
    <w:p w:rsidR="00D8696A" w:rsidRPr="00D8696A" w:rsidRDefault="00D8696A" w:rsidP="00ED2C40">
      <w:pPr>
        <w:spacing w:line="360" w:lineRule="auto"/>
        <w:jc w:val="both"/>
        <w:rPr>
          <w:rFonts w:cs="Times New Roman"/>
          <w:i/>
          <w:szCs w:val="24"/>
        </w:rPr>
      </w:pPr>
    </w:p>
    <w:p w:rsidR="009003C8" w:rsidRPr="009003C8" w:rsidRDefault="009003C8" w:rsidP="00ED2C40">
      <w:pPr>
        <w:spacing w:line="360" w:lineRule="auto"/>
        <w:jc w:val="both"/>
        <w:rPr>
          <w:rFonts w:cs="Times New Roman"/>
          <w:szCs w:val="24"/>
        </w:rPr>
      </w:pPr>
      <w:r>
        <w:rPr>
          <w:rFonts w:cs="Times New Roman"/>
          <w:szCs w:val="24"/>
        </w:rPr>
        <w:t xml:space="preserve">Spivak, Gayatri Chakravorty. ‘Three Women’s Texts and a Critique of Imperialism.’ </w:t>
      </w:r>
      <w:r>
        <w:rPr>
          <w:rFonts w:cs="Times New Roman"/>
          <w:i/>
          <w:szCs w:val="24"/>
        </w:rPr>
        <w:t>Critical Inquiry</w:t>
      </w:r>
      <w:r>
        <w:rPr>
          <w:rFonts w:cs="Times New Roman"/>
          <w:szCs w:val="24"/>
        </w:rPr>
        <w:t>. 12.1 (Autumn 1985): 243-61.</w:t>
      </w:r>
    </w:p>
    <w:p w:rsidR="00D8696A" w:rsidRDefault="00D8696A" w:rsidP="00ED2C40">
      <w:pPr>
        <w:spacing w:line="360" w:lineRule="auto"/>
        <w:jc w:val="both"/>
        <w:rPr>
          <w:rFonts w:cs="Times New Roman"/>
          <w:szCs w:val="24"/>
        </w:rPr>
      </w:pPr>
    </w:p>
    <w:p w:rsidR="00ED2C40" w:rsidRPr="001E6D80" w:rsidRDefault="00ED2C40" w:rsidP="00ED2C40">
      <w:pPr>
        <w:spacing w:line="360" w:lineRule="auto"/>
        <w:jc w:val="both"/>
        <w:rPr>
          <w:rFonts w:cs="Times New Roman"/>
          <w:szCs w:val="24"/>
        </w:rPr>
      </w:pPr>
      <w:r>
        <w:rPr>
          <w:rFonts w:cs="Times New Roman"/>
          <w:szCs w:val="24"/>
        </w:rPr>
        <w:t xml:space="preserve">Stoddard Holmes, Martha. ‘Visions of Rochester: Screening Desire and Disability in </w:t>
      </w:r>
      <w:r>
        <w:rPr>
          <w:rFonts w:cs="Times New Roman"/>
          <w:i/>
          <w:szCs w:val="24"/>
        </w:rPr>
        <w:t>Jane Eyre</w:t>
      </w:r>
      <w:r>
        <w:rPr>
          <w:rFonts w:cs="Times New Roman"/>
          <w:szCs w:val="24"/>
        </w:rPr>
        <w:t>.’</w:t>
      </w:r>
      <w:r>
        <w:rPr>
          <w:rFonts w:cs="Times New Roman"/>
          <w:i/>
          <w:szCs w:val="24"/>
        </w:rPr>
        <w:t xml:space="preserve"> </w:t>
      </w:r>
      <w:r w:rsidRPr="00FA559B">
        <w:rPr>
          <w:rFonts w:cs="Times New Roman"/>
          <w:i/>
          <w:szCs w:val="24"/>
        </w:rPr>
        <w:t>The Madwoman and the Blind Man</w:t>
      </w:r>
      <w:r>
        <w:rPr>
          <w:rFonts w:cs="Times New Roman"/>
          <w:szCs w:val="24"/>
        </w:rPr>
        <w:t>. Ed. David</w:t>
      </w:r>
      <w:r w:rsidR="00BB5F29" w:rsidRPr="00BB5F29">
        <w:rPr>
          <w:rFonts w:cs="Times New Roman"/>
          <w:szCs w:val="24"/>
        </w:rPr>
        <w:t xml:space="preserve"> </w:t>
      </w:r>
      <w:r w:rsidR="00BB5F29">
        <w:rPr>
          <w:rFonts w:cs="Times New Roman"/>
          <w:szCs w:val="24"/>
        </w:rPr>
        <w:t>Bolt,</w:t>
      </w:r>
      <w:r>
        <w:rPr>
          <w:rFonts w:cs="Times New Roman"/>
          <w:szCs w:val="24"/>
        </w:rPr>
        <w:t xml:space="preserve"> Julia Miele Rodas, and Elizabeth J. Donaldson. Basingstoke: Palgrave Macmillan, 2012. 150-174.</w:t>
      </w:r>
    </w:p>
    <w:p w:rsidR="00ED2C40" w:rsidRDefault="00ED2C40" w:rsidP="00FA559B">
      <w:pPr>
        <w:spacing w:line="360" w:lineRule="auto"/>
        <w:jc w:val="both"/>
        <w:rPr>
          <w:rFonts w:cs="Times New Roman"/>
          <w:szCs w:val="24"/>
        </w:rPr>
      </w:pPr>
    </w:p>
    <w:p w:rsidR="00ED1D56" w:rsidRPr="00ED1D56" w:rsidRDefault="00ED1D56" w:rsidP="00FA559B">
      <w:pPr>
        <w:spacing w:line="360" w:lineRule="auto"/>
        <w:jc w:val="both"/>
        <w:rPr>
          <w:rFonts w:cs="Times New Roman"/>
          <w:szCs w:val="24"/>
        </w:rPr>
      </w:pPr>
      <w:r w:rsidRPr="00FA559B">
        <w:rPr>
          <w:rFonts w:cs="Times New Roman"/>
          <w:szCs w:val="24"/>
        </w:rPr>
        <w:lastRenderedPageBreak/>
        <w:t>Stoneman</w:t>
      </w:r>
      <w:r>
        <w:rPr>
          <w:rFonts w:cs="Times New Roman"/>
          <w:szCs w:val="24"/>
        </w:rPr>
        <w:t>,</w:t>
      </w:r>
      <w:r w:rsidRPr="00FA559B">
        <w:rPr>
          <w:rFonts w:cs="Times New Roman"/>
          <w:szCs w:val="24"/>
        </w:rPr>
        <w:t>,Patsy</w:t>
      </w:r>
      <w:r>
        <w:rPr>
          <w:rFonts w:cs="Times New Roman"/>
          <w:szCs w:val="24"/>
        </w:rPr>
        <w:t>.</w:t>
      </w:r>
      <w:r w:rsidRPr="00ED1D56">
        <w:rPr>
          <w:rFonts w:cs="Times New Roman"/>
          <w:i/>
          <w:szCs w:val="24"/>
        </w:rPr>
        <w:t xml:space="preserve"> </w:t>
      </w:r>
      <w:r w:rsidRPr="00FA559B">
        <w:rPr>
          <w:rFonts w:cs="Times New Roman"/>
          <w:i/>
          <w:szCs w:val="24"/>
        </w:rPr>
        <w:t>Brontë</w:t>
      </w:r>
      <w:r>
        <w:rPr>
          <w:rFonts w:cs="Times New Roman"/>
          <w:i/>
          <w:szCs w:val="24"/>
        </w:rPr>
        <w:t xml:space="preserve"> Transformations: The Cultural Dissemination of </w:t>
      </w:r>
      <w:r>
        <w:rPr>
          <w:rFonts w:cs="Times New Roman"/>
          <w:szCs w:val="24"/>
        </w:rPr>
        <w:t xml:space="preserve">Jane Eyre </w:t>
      </w:r>
      <w:r>
        <w:rPr>
          <w:rFonts w:cs="Times New Roman"/>
          <w:i/>
          <w:szCs w:val="24"/>
        </w:rPr>
        <w:t xml:space="preserve">and </w:t>
      </w:r>
      <w:r>
        <w:rPr>
          <w:rFonts w:cs="Times New Roman"/>
          <w:szCs w:val="24"/>
        </w:rPr>
        <w:t>Wuthering Heights. Hemel Hempstead: Harvester Wheatsheaf, 1996.</w:t>
      </w:r>
    </w:p>
    <w:p w:rsidR="0098057A" w:rsidRDefault="0098057A" w:rsidP="00ED1D56">
      <w:pPr>
        <w:spacing w:line="360" w:lineRule="auto"/>
        <w:jc w:val="both"/>
        <w:rPr>
          <w:rFonts w:cs="Times New Roman"/>
          <w:szCs w:val="24"/>
        </w:rPr>
      </w:pPr>
    </w:p>
    <w:p w:rsidR="00ED1D56" w:rsidRPr="00FA559B" w:rsidRDefault="00ED1D56" w:rsidP="00ED1D56">
      <w:pPr>
        <w:spacing w:line="360" w:lineRule="auto"/>
        <w:jc w:val="both"/>
        <w:rPr>
          <w:rFonts w:cs="Times New Roman"/>
          <w:szCs w:val="24"/>
        </w:rPr>
      </w:pPr>
      <w:r w:rsidRPr="00FA559B">
        <w:rPr>
          <w:rFonts w:cs="Times New Roman"/>
          <w:szCs w:val="24"/>
        </w:rPr>
        <w:t>Stoneman</w:t>
      </w:r>
      <w:r>
        <w:rPr>
          <w:rFonts w:cs="Times New Roman"/>
          <w:szCs w:val="24"/>
        </w:rPr>
        <w:t>,</w:t>
      </w:r>
      <w:r w:rsidRPr="00FA559B">
        <w:rPr>
          <w:rFonts w:cs="Times New Roman"/>
          <w:szCs w:val="24"/>
        </w:rPr>
        <w:t xml:space="preserve"> </w:t>
      </w:r>
      <w:r>
        <w:rPr>
          <w:rFonts w:cs="Times New Roman"/>
          <w:szCs w:val="24"/>
        </w:rPr>
        <w:t>Patsy. Ed.</w:t>
      </w:r>
      <w:r w:rsidRPr="00FA559B">
        <w:rPr>
          <w:rFonts w:cs="Times New Roman"/>
          <w:szCs w:val="24"/>
        </w:rPr>
        <w:t xml:space="preserve"> </w:t>
      </w:r>
      <w:r w:rsidRPr="00FA559B">
        <w:rPr>
          <w:rFonts w:cs="Times New Roman"/>
          <w:i/>
          <w:szCs w:val="24"/>
        </w:rPr>
        <w:t>Jane Eyre on Stage, 1848-1898: An Illustrated Edition of Eight Plays</w:t>
      </w:r>
      <w:r w:rsidRPr="00023D49">
        <w:rPr>
          <w:rFonts w:cs="Times New Roman"/>
          <w:i/>
          <w:szCs w:val="24"/>
        </w:rPr>
        <w:t xml:space="preserve"> </w:t>
      </w:r>
      <w:r w:rsidRPr="00FA559B">
        <w:rPr>
          <w:rFonts w:cs="Times New Roman"/>
          <w:i/>
          <w:szCs w:val="24"/>
        </w:rPr>
        <w:t>with Contextual Notes</w:t>
      </w:r>
      <w:r>
        <w:rPr>
          <w:rFonts w:cs="Times New Roman"/>
          <w:szCs w:val="24"/>
        </w:rPr>
        <w:t>.</w:t>
      </w:r>
      <w:r w:rsidRPr="00FA559B">
        <w:rPr>
          <w:rFonts w:cs="Times New Roman"/>
          <w:szCs w:val="24"/>
        </w:rPr>
        <w:t xml:space="preserve"> </w:t>
      </w:r>
      <w:r>
        <w:rPr>
          <w:rFonts w:cs="Times New Roman"/>
          <w:szCs w:val="24"/>
        </w:rPr>
        <w:t>Farnham: Ashgate, 2007.</w:t>
      </w:r>
    </w:p>
    <w:p w:rsidR="00ED1D56" w:rsidRDefault="00ED1D56" w:rsidP="00FA559B">
      <w:pPr>
        <w:spacing w:line="360" w:lineRule="auto"/>
        <w:jc w:val="both"/>
        <w:rPr>
          <w:rFonts w:cs="Times New Roman"/>
          <w:szCs w:val="24"/>
        </w:rPr>
      </w:pPr>
    </w:p>
    <w:p w:rsidR="00023D49" w:rsidRDefault="004825EB" w:rsidP="00023D49">
      <w:pPr>
        <w:spacing w:line="360" w:lineRule="auto"/>
        <w:jc w:val="both"/>
        <w:rPr>
          <w:rFonts w:cs="Times New Roman"/>
          <w:szCs w:val="24"/>
        </w:rPr>
      </w:pPr>
      <w:r w:rsidRPr="00FA559B">
        <w:rPr>
          <w:rFonts w:cs="Times New Roman"/>
          <w:szCs w:val="24"/>
        </w:rPr>
        <w:t>Stoneman</w:t>
      </w:r>
      <w:r>
        <w:rPr>
          <w:rFonts w:cs="Times New Roman"/>
          <w:szCs w:val="24"/>
        </w:rPr>
        <w:t>,</w:t>
      </w:r>
      <w:r w:rsidRPr="00FA559B">
        <w:rPr>
          <w:rFonts w:cs="Times New Roman"/>
          <w:szCs w:val="24"/>
        </w:rPr>
        <w:t>,</w:t>
      </w:r>
      <w:r w:rsidR="00C54DF6" w:rsidRPr="00FA559B">
        <w:rPr>
          <w:rFonts w:cs="Times New Roman"/>
          <w:szCs w:val="24"/>
        </w:rPr>
        <w:t>Patsy</w:t>
      </w:r>
      <w:r>
        <w:rPr>
          <w:rFonts w:cs="Times New Roman"/>
          <w:szCs w:val="24"/>
        </w:rPr>
        <w:t>.</w:t>
      </w:r>
      <w:r w:rsidR="00C54DF6" w:rsidRPr="00FA559B">
        <w:rPr>
          <w:rFonts w:cs="Times New Roman"/>
          <w:szCs w:val="24"/>
        </w:rPr>
        <w:t xml:space="preserve"> </w:t>
      </w:r>
      <w:r w:rsidR="00C54DF6" w:rsidRPr="00FA559B">
        <w:rPr>
          <w:rFonts w:cs="Times New Roman"/>
          <w:i/>
          <w:szCs w:val="24"/>
        </w:rPr>
        <w:t>Charlotte Brontë</w:t>
      </w:r>
      <w:r>
        <w:rPr>
          <w:rFonts w:cs="Times New Roman"/>
          <w:szCs w:val="24"/>
        </w:rPr>
        <w:t>.</w:t>
      </w:r>
      <w:r w:rsidR="00C54DF6" w:rsidRPr="00FA559B">
        <w:rPr>
          <w:rFonts w:cs="Times New Roman"/>
          <w:szCs w:val="24"/>
        </w:rPr>
        <w:t xml:space="preserve"> Plymouth: Northcote House</w:t>
      </w:r>
      <w:r w:rsidR="002D0109">
        <w:rPr>
          <w:rFonts w:cs="Times New Roman"/>
          <w:szCs w:val="24"/>
        </w:rPr>
        <w:t>, 2013</w:t>
      </w:r>
      <w:r>
        <w:rPr>
          <w:rFonts w:cs="Times New Roman"/>
          <w:szCs w:val="24"/>
        </w:rPr>
        <w:t>.</w:t>
      </w:r>
    </w:p>
    <w:p w:rsidR="00023D49" w:rsidRDefault="00023D49" w:rsidP="00FA559B">
      <w:pPr>
        <w:spacing w:line="360" w:lineRule="auto"/>
        <w:jc w:val="both"/>
        <w:rPr>
          <w:rFonts w:cs="Times New Roman"/>
          <w:szCs w:val="24"/>
        </w:rPr>
      </w:pPr>
    </w:p>
    <w:p w:rsidR="002B6F75" w:rsidRPr="00FA559B" w:rsidRDefault="004825EB" w:rsidP="00FA559B">
      <w:pPr>
        <w:spacing w:line="360" w:lineRule="auto"/>
        <w:jc w:val="both"/>
        <w:rPr>
          <w:rFonts w:cs="Times New Roman"/>
          <w:szCs w:val="24"/>
        </w:rPr>
      </w:pPr>
      <w:r w:rsidRPr="00FA559B">
        <w:rPr>
          <w:rFonts w:cs="Times New Roman"/>
          <w:szCs w:val="24"/>
        </w:rPr>
        <w:t>Thomas,</w:t>
      </w:r>
      <w:r>
        <w:rPr>
          <w:rFonts w:cs="Times New Roman"/>
          <w:szCs w:val="24"/>
        </w:rPr>
        <w:t xml:space="preserve"> </w:t>
      </w:r>
      <w:r w:rsidR="002B6F75" w:rsidRPr="00FA559B">
        <w:rPr>
          <w:rFonts w:cs="Times New Roman"/>
          <w:szCs w:val="24"/>
        </w:rPr>
        <w:t>Sue</w:t>
      </w:r>
      <w:r>
        <w:rPr>
          <w:rFonts w:cs="Times New Roman"/>
          <w:szCs w:val="24"/>
        </w:rPr>
        <w:t>.</w:t>
      </w:r>
      <w:r w:rsidR="002B6F75" w:rsidRPr="00FA559B">
        <w:rPr>
          <w:rFonts w:cs="Times New Roman"/>
          <w:szCs w:val="24"/>
        </w:rPr>
        <w:t xml:space="preserve"> </w:t>
      </w:r>
      <w:r w:rsidR="002B6F75" w:rsidRPr="00FA559B">
        <w:rPr>
          <w:rFonts w:cs="Times New Roman"/>
          <w:i/>
          <w:szCs w:val="24"/>
        </w:rPr>
        <w:t xml:space="preserve">Imperialism, Reform, and the Making of Englishness in </w:t>
      </w:r>
      <w:r w:rsidR="002B6F75" w:rsidRPr="00FA559B">
        <w:rPr>
          <w:rFonts w:cs="Times New Roman"/>
          <w:szCs w:val="24"/>
        </w:rPr>
        <w:t>Jane Eyre</w:t>
      </w:r>
      <w:r>
        <w:rPr>
          <w:rFonts w:cs="Times New Roman"/>
          <w:szCs w:val="24"/>
        </w:rPr>
        <w:t>.</w:t>
      </w:r>
      <w:r w:rsidR="002B6F75" w:rsidRPr="00FA559B">
        <w:rPr>
          <w:rFonts w:cs="Times New Roman"/>
          <w:szCs w:val="24"/>
        </w:rPr>
        <w:t xml:space="preserve"> </w:t>
      </w:r>
      <w:r>
        <w:rPr>
          <w:rFonts w:cs="Times New Roman"/>
          <w:szCs w:val="24"/>
        </w:rPr>
        <w:t>Basingstoke: Palgrave Macmillan, 2008.</w:t>
      </w:r>
    </w:p>
    <w:p w:rsidR="00023D49" w:rsidRDefault="00023D49" w:rsidP="00023D49">
      <w:pPr>
        <w:spacing w:line="360" w:lineRule="auto"/>
        <w:jc w:val="both"/>
        <w:rPr>
          <w:rFonts w:cs="Times New Roman"/>
          <w:szCs w:val="24"/>
        </w:rPr>
      </w:pPr>
    </w:p>
    <w:p w:rsidR="00023D49" w:rsidRPr="00FA559B" w:rsidRDefault="004825EB" w:rsidP="00023D49">
      <w:pPr>
        <w:spacing w:line="360" w:lineRule="auto"/>
        <w:jc w:val="both"/>
        <w:rPr>
          <w:rFonts w:cs="Times New Roman"/>
          <w:szCs w:val="24"/>
        </w:rPr>
      </w:pPr>
      <w:r>
        <w:rPr>
          <w:rFonts w:cs="Times New Roman"/>
          <w:szCs w:val="24"/>
        </w:rPr>
        <w:t>Thormählen</w:t>
      </w:r>
      <w:r w:rsidRPr="00FA559B">
        <w:rPr>
          <w:rFonts w:cs="Times New Roman"/>
          <w:szCs w:val="24"/>
        </w:rPr>
        <w:t xml:space="preserve">, </w:t>
      </w:r>
      <w:r w:rsidR="00023D49" w:rsidRPr="00FA559B">
        <w:rPr>
          <w:rFonts w:cs="Times New Roman"/>
          <w:szCs w:val="24"/>
        </w:rPr>
        <w:t>Marianne</w:t>
      </w:r>
      <w:r>
        <w:rPr>
          <w:rFonts w:cs="Times New Roman"/>
          <w:szCs w:val="24"/>
        </w:rPr>
        <w:t>. Ed.</w:t>
      </w:r>
      <w:r w:rsidR="00023D49" w:rsidRPr="00FA559B">
        <w:rPr>
          <w:rFonts w:cs="Times New Roman"/>
          <w:szCs w:val="24"/>
        </w:rPr>
        <w:t xml:space="preserve"> </w:t>
      </w:r>
      <w:r w:rsidR="00023D49" w:rsidRPr="00FA559B">
        <w:rPr>
          <w:rFonts w:cs="Times New Roman"/>
          <w:i/>
          <w:szCs w:val="24"/>
        </w:rPr>
        <w:t>The Brontës in Context</w:t>
      </w:r>
      <w:r>
        <w:rPr>
          <w:rFonts w:cs="Times New Roman"/>
          <w:szCs w:val="24"/>
        </w:rPr>
        <w:t xml:space="preserve">. </w:t>
      </w:r>
      <w:r w:rsidR="00023D49" w:rsidRPr="00FA559B">
        <w:rPr>
          <w:rFonts w:cs="Times New Roman"/>
          <w:szCs w:val="24"/>
        </w:rPr>
        <w:t>Cambridge: C</w:t>
      </w:r>
      <w:r>
        <w:rPr>
          <w:rFonts w:cs="Times New Roman"/>
          <w:szCs w:val="24"/>
        </w:rPr>
        <w:t>ambridge UP, 2012.</w:t>
      </w:r>
    </w:p>
    <w:p w:rsidR="00023D49" w:rsidRDefault="00023D49" w:rsidP="00023D49">
      <w:pPr>
        <w:spacing w:line="360" w:lineRule="auto"/>
        <w:jc w:val="both"/>
        <w:rPr>
          <w:rFonts w:cs="Times New Roman"/>
          <w:szCs w:val="24"/>
        </w:rPr>
      </w:pPr>
    </w:p>
    <w:p w:rsidR="00023D49" w:rsidRPr="00FA559B" w:rsidRDefault="004825EB" w:rsidP="00023D49">
      <w:pPr>
        <w:spacing w:line="360" w:lineRule="auto"/>
        <w:jc w:val="both"/>
        <w:rPr>
          <w:rFonts w:cs="Times New Roman"/>
          <w:szCs w:val="24"/>
        </w:rPr>
      </w:pPr>
      <w:r w:rsidRPr="00FA559B">
        <w:rPr>
          <w:rFonts w:cs="Times New Roman"/>
          <w:szCs w:val="24"/>
        </w:rPr>
        <w:t>Thormählen,</w:t>
      </w:r>
      <w:r w:rsidR="00DA7237">
        <w:rPr>
          <w:rFonts w:cs="Times New Roman"/>
          <w:szCs w:val="24"/>
        </w:rPr>
        <w:t xml:space="preserve"> </w:t>
      </w:r>
      <w:r w:rsidR="00023D49" w:rsidRPr="00FA559B">
        <w:rPr>
          <w:rFonts w:cs="Times New Roman"/>
          <w:szCs w:val="24"/>
        </w:rPr>
        <w:t>Marianne</w:t>
      </w:r>
      <w:r>
        <w:rPr>
          <w:rFonts w:cs="Times New Roman"/>
          <w:szCs w:val="24"/>
        </w:rPr>
        <w:t>.</w:t>
      </w:r>
      <w:r w:rsidR="00023D49" w:rsidRPr="00FA559B">
        <w:rPr>
          <w:rFonts w:cs="Times New Roman"/>
          <w:szCs w:val="24"/>
        </w:rPr>
        <w:t xml:space="preserve"> </w:t>
      </w:r>
      <w:r>
        <w:rPr>
          <w:rFonts w:cs="Times New Roman"/>
          <w:i/>
          <w:szCs w:val="24"/>
        </w:rPr>
        <w:t>The Brontës and Education</w:t>
      </w:r>
      <w:r>
        <w:rPr>
          <w:rFonts w:cs="Times New Roman"/>
          <w:szCs w:val="24"/>
        </w:rPr>
        <w:t>.</w:t>
      </w:r>
      <w:r>
        <w:rPr>
          <w:rFonts w:cs="Times New Roman"/>
          <w:i/>
          <w:szCs w:val="24"/>
        </w:rPr>
        <w:t xml:space="preserve"> </w:t>
      </w:r>
      <w:r w:rsidR="00023D49" w:rsidRPr="00FA559B">
        <w:rPr>
          <w:rFonts w:cs="Times New Roman"/>
          <w:szCs w:val="24"/>
        </w:rPr>
        <w:t>Cambridge: C</w:t>
      </w:r>
      <w:r>
        <w:rPr>
          <w:rFonts w:cs="Times New Roman"/>
          <w:szCs w:val="24"/>
        </w:rPr>
        <w:t>ambridge UP, 2007.</w:t>
      </w:r>
    </w:p>
    <w:p w:rsidR="00200765" w:rsidRPr="00FA559B" w:rsidRDefault="00200765" w:rsidP="00FA559B">
      <w:pPr>
        <w:spacing w:line="360" w:lineRule="auto"/>
        <w:jc w:val="both"/>
        <w:rPr>
          <w:rFonts w:cs="Times New Roman"/>
          <w:szCs w:val="24"/>
        </w:rPr>
      </w:pPr>
    </w:p>
    <w:p w:rsidR="00A50445" w:rsidRPr="004825EB" w:rsidRDefault="004825EB" w:rsidP="00FA559B">
      <w:pPr>
        <w:spacing w:line="360" w:lineRule="auto"/>
        <w:jc w:val="both"/>
        <w:rPr>
          <w:rFonts w:cs="Times New Roman"/>
          <w:szCs w:val="24"/>
        </w:rPr>
      </w:pPr>
      <w:r w:rsidRPr="00FA559B">
        <w:rPr>
          <w:rFonts w:cs="Times New Roman"/>
          <w:szCs w:val="24"/>
        </w:rPr>
        <w:t>Ward</w:t>
      </w:r>
      <w:r>
        <w:rPr>
          <w:rFonts w:cs="Times New Roman"/>
          <w:szCs w:val="24"/>
        </w:rPr>
        <w:t>,</w:t>
      </w:r>
      <w:r w:rsidRPr="00FA559B">
        <w:rPr>
          <w:rFonts w:cs="Times New Roman"/>
          <w:szCs w:val="24"/>
        </w:rPr>
        <w:t xml:space="preserve"> </w:t>
      </w:r>
      <w:r w:rsidR="00A50445" w:rsidRPr="00FA559B">
        <w:rPr>
          <w:rFonts w:cs="Times New Roman"/>
          <w:szCs w:val="24"/>
        </w:rPr>
        <w:t>Ian</w:t>
      </w:r>
      <w:r>
        <w:rPr>
          <w:rFonts w:cs="Times New Roman"/>
          <w:szCs w:val="24"/>
        </w:rPr>
        <w:t>.</w:t>
      </w:r>
      <w:r w:rsidR="00A50445" w:rsidRPr="00FA559B">
        <w:rPr>
          <w:rFonts w:cs="Times New Roman"/>
          <w:szCs w:val="24"/>
        </w:rPr>
        <w:t xml:space="preserve"> </w:t>
      </w:r>
      <w:r>
        <w:rPr>
          <w:rFonts w:cs="Times New Roman"/>
          <w:i/>
          <w:szCs w:val="24"/>
        </w:rPr>
        <w:t>The Law and The Brontës</w:t>
      </w:r>
      <w:r>
        <w:rPr>
          <w:rFonts w:cs="Times New Roman"/>
          <w:szCs w:val="24"/>
        </w:rPr>
        <w:t>. Basingstoke: Palgrave Macmillan, 2012.</w:t>
      </w:r>
    </w:p>
    <w:p w:rsidR="000D5371" w:rsidRDefault="000D5371" w:rsidP="000D5371">
      <w:pPr>
        <w:spacing w:line="360" w:lineRule="auto"/>
        <w:jc w:val="both"/>
        <w:rPr>
          <w:rFonts w:cs="Times New Roman"/>
          <w:szCs w:val="24"/>
        </w:rPr>
      </w:pPr>
    </w:p>
    <w:p w:rsidR="000D5371" w:rsidRPr="00FA559B" w:rsidRDefault="000D5371" w:rsidP="000D5371">
      <w:pPr>
        <w:spacing w:line="360" w:lineRule="auto"/>
        <w:jc w:val="both"/>
        <w:rPr>
          <w:rFonts w:cs="Times New Roman"/>
          <w:i/>
          <w:szCs w:val="24"/>
        </w:rPr>
      </w:pPr>
      <w:r>
        <w:rPr>
          <w:rFonts w:cs="Times New Roman"/>
          <w:szCs w:val="24"/>
        </w:rPr>
        <w:t>Wells, Juliette with Ruth A. Solie. ‘</w:t>
      </w:r>
      <w:r>
        <w:rPr>
          <w:rFonts w:cs="Times New Roman"/>
          <w:i/>
          <w:szCs w:val="24"/>
        </w:rPr>
        <w:t>Shirley</w:t>
      </w:r>
      <w:r>
        <w:rPr>
          <w:rFonts w:cs="Times New Roman"/>
          <w:szCs w:val="24"/>
        </w:rPr>
        <w:t>’s Window on a Musical Society in Transition.’</w:t>
      </w:r>
    </w:p>
    <w:p w:rsidR="000D5371" w:rsidRDefault="000D5371" w:rsidP="000D5371">
      <w:pPr>
        <w:spacing w:line="360" w:lineRule="auto"/>
        <w:jc w:val="both"/>
        <w:rPr>
          <w:rFonts w:cs="Times New Roman"/>
          <w:szCs w:val="24"/>
        </w:rPr>
      </w:pPr>
      <w:r w:rsidRPr="00FA559B">
        <w:rPr>
          <w:rFonts w:cs="Times New Roman"/>
          <w:i/>
          <w:szCs w:val="24"/>
        </w:rPr>
        <w:t>The Brontës and the World of the Arts</w:t>
      </w:r>
      <w:r>
        <w:rPr>
          <w:rFonts w:cs="Times New Roman"/>
          <w:szCs w:val="24"/>
        </w:rPr>
        <w:t>. Ed.</w:t>
      </w:r>
      <w:r w:rsidRPr="00FA559B">
        <w:rPr>
          <w:rFonts w:cs="Times New Roman"/>
          <w:szCs w:val="24"/>
        </w:rPr>
        <w:t xml:space="preserve"> Sandra Hagan and Juliette Wells</w:t>
      </w:r>
      <w:r>
        <w:rPr>
          <w:rFonts w:cs="Times New Roman"/>
          <w:szCs w:val="24"/>
        </w:rPr>
        <w:t>. Farnham:</w:t>
      </w:r>
      <w:r w:rsidRPr="00FA559B">
        <w:rPr>
          <w:rFonts w:cs="Times New Roman"/>
          <w:szCs w:val="24"/>
        </w:rPr>
        <w:t xml:space="preserve"> </w:t>
      </w:r>
      <w:r>
        <w:rPr>
          <w:rFonts w:cs="Times New Roman"/>
          <w:szCs w:val="24"/>
        </w:rPr>
        <w:t>Ashgate, 2008. 101-124.</w:t>
      </w:r>
    </w:p>
    <w:p w:rsidR="00A04E14" w:rsidRDefault="00A04E14" w:rsidP="003D5FC2">
      <w:pPr>
        <w:spacing w:line="360" w:lineRule="auto"/>
        <w:jc w:val="both"/>
        <w:rPr>
          <w:rFonts w:cs="Times New Roman"/>
          <w:szCs w:val="24"/>
        </w:rPr>
      </w:pPr>
    </w:p>
    <w:p w:rsidR="00A04E14" w:rsidRPr="009D4AEA" w:rsidRDefault="00A04E14" w:rsidP="003D5FC2">
      <w:pPr>
        <w:spacing w:line="360" w:lineRule="auto"/>
        <w:jc w:val="both"/>
        <w:rPr>
          <w:rFonts w:cs="Times New Roman"/>
          <w:szCs w:val="24"/>
        </w:rPr>
      </w:pPr>
      <w:r>
        <w:rPr>
          <w:rFonts w:cs="Times New Roman"/>
          <w:szCs w:val="24"/>
        </w:rPr>
        <w:t xml:space="preserve">Wynne, Deborah, </w:t>
      </w:r>
      <w:r w:rsidR="009D4AEA">
        <w:rPr>
          <w:rFonts w:cs="Times New Roman"/>
          <w:szCs w:val="24"/>
        </w:rPr>
        <w:t xml:space="preserve">‘Charlotte Brontë’s Frocks and </w:t>
      </w:r>
      <w:r w:rsidR="009D4AEA">
        <w:rPr>
          <w:rFonts w:cs="Times New Roman"/>
          <w:i/>
          <w:szCs w:val="24"/>
        </w:rPr>
        <w:t>Shirley</w:t>
      </w:r>
      <w:r w:rsidR="009D4AEA">
        <w:rPr>
          <w:rFonts w:cs="Times New Roman"/>
          <w:szCs w:val="24"/>
        </w:rPr>
        <w:t xml:space="preserve">’s Queer Textiles.’ </w:t>
      </w:r>
      <w:r w:rsidR="009D4AEA">
        <w:rPr>
          <w:rFonts w:cs="Times New Roman"/>
          <w:i/>
          <w:szCs w:val="24"/>
        </w:rPr>
        <w:t>Literary Bric-à-Brac and the Victorians: From Commodities to Oddities</w:t>
      </w:r>
      <w:r w:rsidR="009D4AEA">
        <w:rPr>
          <w:rFonts w:cs="Times New Roman"/>
          <w:szCs w:val="24"/>
        </w:rPr>
        <w:t>. Ed. Jonathon Shears and Jen Harrison. Farnham: Ashgate, 2013. 147-162.</w:t>
      </w:r>
    </w:p>
    <w:p w:rsidR="00C54DF6" w:rsidRPr="00FA559B" w:rsidRDefault="00C54DF6" w:rsidP="00FA559B">
      <w:pPr>
        <w:spacing w:line="360" w:lineRule="auto"/>
        <w:jc w:val="both"/>
        <w:rPr>
          <w:rFonts w:cs="Times New Roman"/>
          <w:szCs w:val="24"/>
        </w:rPr>
      </w:pPr>
    </w:p>
    <w:p w:rsidR="00C54DF6" w:rsidRPr="00FA559B" w:rsidRDefault="00C54DF6" w:rsidP="00FA559B">
      <w:pPr>
        <w:spacing w:line="360" w:lineRule="auto"/>
        <w:jc w:val="both"/>
        <w:rPr>
          <w:rFonts w:cs="Times New Roman"/>
          <w:szCs w:val="24"/>
        </w:rPr>
      </w:pPr>
    </w:p>
    <w:p w:rsidR="00781E4F" w:rsidRPr="00FA559B" w:rsidRDefault="00781E4F" w:rsidP="00FA559B">
      <w:pPr>
        <w:spacing w:line="360" w:lineRule="auto"/>
        <w:jc w:val="both"/>
        <w:rPr>
          <w:rFonts w:cs="Times New Roman"/>
          <w:szCs w:val="24"/>
        </w:rPr>
      </w:pPr>
    </w:p>
    <w:sectPr w:rsidR="00781E4F" w:rsidRPr="00FA55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96" w:rsidRDefault="00A87496" w:rsidP="00A03B2C">
      <w:r>
        <w:separator/>
      </w:r>
    </w:p>
  </w:endnote>
  <w:endnote w:type="continuationSeparator" w:id="0">
    <w:p w:rsidR="00A87496" w:rsidRDefault="00A87496" w:rsidP="00A0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96" w:rsidRDefault="00A87496" w:rsidP="00A03B2C">
      <w:r>
        <w:separator/>
      </w:r>
    </w:p>
  </w:footnote>
  <w:footnote w:type="continuationSeparator" w:id="0">
    <w:p w:rsidR="00A87496" w:rsidRDefault="00A87496" w:rsidP="00A0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19945"/>
      <w:docPartObj>
        <w:docPartGallery w:val="Page Numbers (Top of Page)"/>
        <w:docPartUnique/>
      </w:docPartObj>
    </w:sdtPr>
    <w:sdtEndPr>
      <w:rPr>
        <w:noProof/>
      </w:rPr>
    </w:sdtEndPr>
    <w:sdtContent>
      <w:p w:rsidR="00E42F52" w:rsidRDefault="00E42F52">
        <w:pPr>
          <w:pStyle w:val="Header"/>
          <w:jc w:val="right"/>
        </w:pPr>
        <w:r>
          <w:fldChar w:fldCharType="begin"/>
        </w:r>
        <w:r>
          <w:instrText xml:space="preserve"> PAGE   \* MERGEFORMAT </w:instrText>
        </w:r>
        <w:r>
          <w:fldChar w:fldCharType="separate"/>
        </w:r>
        <w:r w:rsidR="00C34185">
          <w:rPr>
            <w:noProof/>
          </w:rPr>
          <w:t>2</w:t>
        </w:r>
        <w:r>
          <w:rPr>
            <w:noProof/>
          </w:rPr>
          <w:fldChar w:fldCharType="end"/>
        </w:r>
      </w:p>
    </w:sdtContent>
  </w:sdt>
  <w:p w:rsidR="00E42F52" w:rsidRDefault="00E42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24"/>
    <w:rsid w:val="00000A6D"/>
    <w:rsid w:val="00011F72"/>
    <w:rsid w:val="00021099"/>
    <w:rsid w:val="00023D49"/>
    <w:rsid w:val="00025322"/>
    <w:rsid w:val="0003639B"/>
    <w:rsid w:val="00043057"/>
    <w:rsid w:val="00050469"/>
    <w:rsid w:val="00070A0A"/>
    <w:rsid w:val="00081FB9"/>
    <w:rsid w:val="0008686F"/>
    <w:rsid w:val="00091993"/>
    <w:rsid w:val="000930C0"/>
    <w:rsid w:val="000A1F61"/>
    <w:rsid w:val="000A67DA"/>
    <w:rsid w:val="000B2550"/>
    <w:rsid w:val="000B264F"/>
    <w:rsid w:val="000B6469"/>
    <w:rsid w:val="000C507D"/>
    <w:rsid w:val="000C67AA"/>
    <w:rsid w:val="000D5252"/>
    <w:rsid w:val="000D5371"/>
    <w:rsid w:val="000E15D5"/>
    <w:rsid w:val="000E3E68"/>
    <w:rsid w:val="000E742B"/>
    <w:rsid w:val="000E7EF9"/>
    <w:rsid w:val="0011051F"/>
    <w:rsid w:val="00110D6C"/>
    <w:rsid w:val="00112AD6"/>
    <w:rsid w:val="00115A44"/>
    <w:rsid w:val="001164CB"/>
    <w:rsid w:val="00121552"/>
    <w:rsid w:val="001345FD"/>
    <w:rsid w:val="00135B92"/>
    <w:rsid w:val="00140278"/>
    <w:rsid w:val="00144644"/>
    <w:rsid w:val="00167F90"/>
    <w:rsid w:val="001709B0"/>
    <w:rsid w:val="0017155C"/>
    <w:rsid w:val="001920BA"/>
    <w:rsid w:val="00192E0F"/>
    <w:rsid w:val="00197C53"/>
    <w:rsid w:val="001A08E1"/>
    <w:rsid w:val="001A2672"/>
    <w:rsid w:val="001B6BB0"/>
    <w:rsid w:val="001D6BC0"/>
    <w:rsid w:val="001E3DBB"/>
    <w:rsid w:val="001E69B1"/>
    <w:rsid w:val="001E6D80"/>
    <w:rsid w:val="001E7BC4"/>
    <w:rsid w:val="00200765"/>
    <w:rsid w:val="0020345F"/>
    <w:rsid w:val="002150E4"/>
    <w:rsid w:val="00216DEA"/>
    <w:rsid w:val="00223E03"/>
    <w:rsid w:val="002336A3"/>
    <w:rsid w:val="002426EB"/>
    <w:rsid w:val="002431BB"/>
    <w:rsid w:val="0024633A"/>
    <w:rsid w:val="00247A5F"/>
    <w:rsid w:val="0026574F"/>
    <w:rsid w:val="00281899"/>
    <w:rsid w:val="002833E1"/>
    <w:rsid w:val="0029064C"/>
    <w:rsid w:val="002A5469"/>
    <w:rsid w:val="002B032E"/>
    <w:rsid w:val="002B6F75"/>
    <w:rsid w:val="002C2874"/>
    <w:rsid w:val="002D0109"/>
    <w:rsid w:val="002D50F7"/>
    <w:rsid w:val="002E2EFF"/>
    <w:rsid w:val="002E538D"/>
    <w:rsid w:val="002E7BCD"/>
    <w:rsid w:val="002F4362"/>
    <w:rsid w:val="00303CC4"/>
    <w:rsid w:val="00304954"/>
    <w:rsid w:val="00310835"/>
    <w:rsid w:val="003274EB"/>
    <w:rsid w:val="003401C7"/>
    <w:rsid w:val="00341109"/>
    <w:rsid w:val="00342E39"/>
    <w:rsid w:val="00344A49"/>
    <w:rsid w:val="0037621F"/>
    <w:rsid w:val="003774F2"/>
    <w:rsid w:val="00381745"/>
    <w:rsid w:val="00394534"/>
    <w:rsid w:val="003B126D"/>
    <w:rsid w:val="003B1E40"/>
    <w:rsid w:val="003B1EEC"/>
    <w:rsid w:val="003B26EF"/>
    <w:rsid w:val="003B4362"/>
    <w:rsid w:val="003B777E"/>
    <w:rsid w:val="003D5FC2"/>
    <w:rsid w:val="003E70BF"/>
    <w:rsid w:val="003F34A5"/>
    <w:rsid w:val="003F6091"/>
    <w:rsid w:val="004112B9"/>
    <w:rsid w:val="00412E73"/>
    <w:rsid w:val="004247AB"/>
    <w:rsid w:val="004268EE"/>
    <w:rsid w:val="00426E11"/>
    <w:rsid w:val="00434FB9"/>
    <w:rsid w:val="004358A9"/>
    <w:rsid w:val="00442983"/>
    <w:rsid w:val="00444634"/>
    <w:rsid w:val="004465C2"/>
    <w:rsid w:val="004564CA"/>
    <w:rsid w:val="00465E7B"/>
    <w:rsid w:val="004825EB"/>
    <w:rsid w:val="004859BC"/>
    <w:rsid w:val="0049009E"/>
    <w:rsid w:val="004924E8"/>
    <w:rsid w:val="00495057"/>
    <w:rsid w:val="004B4E00"/>
    <w:rsid w:val="004C6E14"/>
    <w:rsid w:val="004D08C7"/>
    <w:rsid w:val="004E28A4"/>
    <w:rsid w:val="004E2C35"/>
    <w:rsid w:val="004E3DB5"/>
    <w:rsid w:val="004F415D"/>
    <w:rsid w:val="00506471"/>
    <w:rsid w:val="00507330"/>
    <w:rsid w:val="00511B1B"/>
    <w:rsid w:val="005121AC"/>
    <w:rsid w:val="00514978"/>
    <w:rsid w:val="005209CE"/>
    <w:rsid w:val="005250F9"/>
    <w:rsid w:val="005411E5"/>
    <w:rsid w:val="0054190F"/>
    <w:rsid w:val="005425FA"/>
    <w:rsid w:val="00544433"/>
    <w:rsid w:val="00566865"/>
    <w:rsid w:val="00567FC1"/>
    <w:rsid w:val="00593663"/>
    <w:rsid w:val="005936B4"/>
    <w:rsid w:val="005A4E33"/>
    <w:rsid w:val="005A55A3"/>
    <w:rsid w:val="005B66B2"/>
    <w:rsid w:val="00610485"/>
    <w:rsid w:val="006171BC"/>
    <w:rsid w:val="006178EE"/>
    <w:rsid w:val="006207AD"/>
    <w:rsid w:val="006266A0"/>
    <w:rsid w:val="006276BB"/>
    <w:rsid w:val="00627834"/>
    <w:rsid w:val="006341CB"/>
    <w:rsid w:val="00634395"/>
    <w:rsid w:val="00636DF8"/>
    <w:rsid w:val="00640EB8"/>
    <w:rsid w:val="00643557"/>
    <w:rsid w:val="00646FD7"/>
    <w:rsid w:val="00647FA9"/>
    <w:rsid w:val="0065218A"/>
    <w:rsid w:val="006546F5"/>
    <w:rsid w:val="00665FF0"/>
    <w:rsid w:val="00671890"/>
    <w:rsid w:val="00673058"/>
    <w:rsid w:val="00674DC9"/>
    <w:rsid w:val="006852D4"/>
    <w:rsid w:val="006B0276"/>
    <w:rsid w:val="006B31B6"/>
    <w:rsid w:val="006B3B5D"/>
    <w:rsid w:val="006B5794"/>
    <w:rsid w:val="006C21CB"/>
    <w:rsid w:val="006D35C0"/>
    <w:rsid w:val="006E5842"/>
    <w:rsid w:val="006F38FF"/>
    <w:rsid w:val="006F7A82"/>
    <w:rsid w:val="00703DA0"/>
    <w:rsid w:val="00704E4B"/>
    <w:rsid w:val="007118B1"/>
    <w:rsid w:val="00724829"/>
    <w:rsid w:val="00730BEE"/>
    <w:rsid w:val="00734891"/>
    <w:rsid w:val="0073541F"/>
    <w:rsid w:val="00744E8B"/>
    <w:rsid w:val="00775AED"/>
    <w:rsid w:val="00781E4F"/>
    <w:rsid w:val="00786B23"/>
    <w:rsid w:val="00790DED"/>
    <w:rsid w:val="00795373"/>
    <w:rsid w:val="007D435F"/>
    <w:rsid w:val="007E43CC"/>
    <w:rsid w:val="007E4E08"/>
    <w:rsid w:val="007E5D94"/>
    <w:rsid w:val="00806817"/>
    <w:rsid w:val="0081001B"/>
    <w:rsid w:val="00810039"/>
    <w:rsid w:val="008250D8"/>
    <w:rsid w:val="00833DB6"/>
    <w:rsid w:val="008363F7"/>
    <w:rsid w:val="00853310"/>
    <w:rsid w:val="0085350D"/>
    <w:rsid w:val="0086381A"/>
    <w:rsid w:val="00880B51"/>
    <w:rsid w:val="0088403D"/>
    <w:rsid w:val="008971D9"/>
    <w:rsid w:val="008A01E0"/>
    <w:rsid w:val="008B6382"/>
    <w:rsid w:val="008B79DD"/>
    <w:rsid w:val="008C0886"/>
    <w:rsid w:val="008E324A"/>
    <w:rsid w:val="008E5CE0"/>
    <w:rsid w:val="008E7C9A"/>
    <w:rsid w:val="009003C8"/>
    <w:rsid w:val="009244B4"/>
    <w:rsid w:val="00926868"/>
    <w:rsid w:val="00957EE2"/>
    <w:rsid w:val="00976F6B"/>
    <w:rsid w:val="0098057A"/>
    <w:rsid w:val="00980AF2"/>
    <w:rsid w:val="00984B55"/>
    <w:rsid w:val="009B1293"/>
    <w:rsid w:val="009D4AEA"/>
    <w:rsid w:val="009E69C2"/>
    <w:rsid w:val="009F1ABA"/>
    <w:rsid w:val="009F203C"/>
    <w:rsid w:val="00A00218"/>
    <w:rsid w:val="00A03B2C"/>
    <w:rsid w:val="00A04E14"/>
    <w:rsid w:val="00A05694"/>
    <w:rsid w:val="00A10977"/>
    <w:rsid w:val="00A12FF3"/>
    <w:rsid w:val="00A157F3"/>
    <w:rsid w:val="00A27845"/>
    <w:rsid w:val="00A311D0"/>
    <w:rsid w:val="00A318EA"/>
    <w:rsid w:val="00A50445"/>
    <w:rsid w:val="00A60CA3"/>
    <w:rsid w:val="00A63E6B"/>
    <w:rsid w:val="00A647E4"/>
    <w:rsid w:val="00A64B89"/>
    <w:rsid w:val="00A67D06"/>
    <w:rsid w:val="00A728AE"/>
    <w:rsid w:val="00A76AF1"/>
    <w:rsid w:val="00A87496"/>
    <w:rsid w:val="00A9087C"/>
    <w:rsid w:val="00A92E40"/>
    <w:rsid w:val="00A950F2"/>
    <w:rsid w:val="00AA461A"/>
    <w:rsid w:val="00AB3D54"/>
    <w:rsid w:val="00AB6CA1"/>
    <w:rsid w:val="00AB76BC"/>
    <w:rsid w:val="00AC24EC"/>
    <w:rsid w:val="00AC7D4D"/>
    <w:rsid w:val="00AD3F01"/>
    <w:rsid w:val="00AD484F"/>
    <w:rsid w:val="00AE6FFB"/>
    <w:rsid w:val="00AF4517"/>
    <w:rsid w:val="00AF62D2"/>
    <w:rsid w:val="00B2586C"/>
    <w:rsid w:val="00B25960"/>
    <w:rsid w:val="00B30A4B"/>
    <w:rsid w:val="00B32556"/>
    <w:rsid w:val="00B450F9"/>
    <w:rsid w:val="00B63CFA"/>
    <w:rsid w:val="00B7196C"/>
    <w:rsid w:val="00B76861"/>
    <w:rsid w:val="00B939F4"/>
    <w:rsid w:val="00B9492E"/>
    <w:rsid w:val="00B95BB7"/>
    <w:rsid w:val="00BA29A5"/>
    <w:rsid w:val="00BA5814"/>
    <w:rsid w:val="00BA6045"/>
    <w:rsid w:val="00BA629A"/>
    <w:rsid w:val="00BB5F29"/>
    <w:rsid w:val="00BC772A"/>
    <w:rsid w:val="00BE25AA"/>
    <w:rsid w:val="00BE74B5"/>
    <w:rsid w:val="00BF609B"/>
    <w:rsid w:val="00C01891"/>
    <w:rsid w:val="00C2422D"/>
    <w:rsid w:val="00C3373A"/>
    <w:rsid w:val="00C34185"/>
    <w:rsid w:val="00C36DFC"/>
    <w:rsid w:val="00C4078B"/>
    <w:rsid w:val="00C54DF6"/>
    <w:rsid w:val="00C62C17"/>
    <w:rsid w:val="00C662E9"/>
    <w:rsid w:val="00C7713A"/>
    <w:rsid w:val="00C8554A"/>
    <w:rsid w:val="00C8782E"/>
    <w:rsid w:val="00C87A47"/>
    <w:rsid w:val="00C90360"/>
    <w:rsid w:val="00CA6935"/>
    <w:rsid w:val="00CC4946"/>
    <w:rsid w:val="00CC4E3B"/>
    <w:rsid w:val="00CC7018"/>
    <w:rsid w:val="00CD3CF1"/>
    <w:rsid w:val="00CD64BD"/>
    <w:rsid w:val="00CD6A53"/>
    <w:rsid w:val="00CE4CCB"/>
    <w:rsid w:val="00D01A19"/>
    <w:rsid w:val="00D13FA3"/>
    <w:rsid w:val="00D154EA"/>
    <w:rsid w:val="00D24613"/>
    <w:rsid w:val="00D40A92"/>
    <w:rsid w:val="00D43F63"/>
    <w:rsid w:val="00D45CE0"/>
    <w:rsid w:val="00D47B45"/>
    <w:rsid w:val="00D54571"/>
    <w:rsid w:val="00D776A1"/>
    <w:rsid w:val="00D80806"/>
    <w:rsid w:val="00D8696A"/>
    <w:rsid w:val="00D93DA7"/>
    <w:rsid w:val="00D94C1F"/>
    <w:rsid w:val="00DA6E28"/>
    <w:rsid w:val="00DA7237"/>
    <w:rsid w:val="00DB41F6"/>
    <w:rsid w:val="00DB5B0B"/>
    <w:rsid w:val="00DB5CD9"/>
    <w:rsid w:val="00DD444D"/>
    <w:rsid w:val="00DD5237"/>
    <w:rsid w:val="00DD5593"/>
    <w:rsid w:val="00DE0006"/>
    <w:rsid w:val="00DE2037"/>
    <w:rsid w:val="00DF18DB"/>
    <w:rsid w:val="00DF1F20"/>
    <w:rsid w:val="00DF3408"/>
    <w:rsid w:val="00DF5822"/>
    <w:rsid w:val="00DF71DD"/>
    <w:rsid w:val="00E0147A"/>
    <w:rsid w:val="00E01EB1"/>
    <w:rsid w:val="00E04B1C"/>
    <w:rsid w:val="00E1107C"/>
    <w:rsid w:val="00E36BBF"/>
    <w:rsid w:val="00E42F52"/>
    <w:rsid w:val="00E6355A"/>
    <w:rsid w:val="00E710BD"/>
    <w:rsid w:val="00E97347"/>
    <w:rsid w:val="00EA70A3"/>
    <w:rsid w:val="00EB37CA"/>
    <w:rsid w:val="00EB4BAC"/>
    <w:rsid w:val="00ED1D56"/>
    <w:rsid w:val="00ED2C40"/>
    <w:rsid w:val="00EE0996"/>
    <w:rsid w:val="00EE0A7A"/>
    <w:rsid w:val="00EF4D8F"/>
    <w:rsid w:val="00EF7C1B"/>
    <w:rsid w:val="00F120B3"/>
    <w:rsid w:val="00F13A62"/>
    <w:rsid w:val="00F20024"/>
    <w:rsid w:val="00F27A93"/>
    <w:rsid w:val="00F27EEC"/>
    <w:rsid w:val="00F31B22"/>
    <w:rsid w:val="00F3667F"/>
    <w:rsid w:val="00F407A5"/>
    <w:rsid w:val="00F428D3"/>
    <w:rsid w:val="00F42A38"/>
    <w:rsid w:val="00F567E7"/>
    <w:rsid w:val="00F56C58"/>
    <w:rsid w:val="00F7035D"/>
    <w:rsid w:val="00F73504"/>
    <w:rsid w:val="00F76A7E"/>
    <w:rsid w:val="00F80D34"/>
    <w:rsid w:val="00F848CB"/>
    <w:rsid w:val="00F87863"/>
    <w:rsid w:val="00F9607D"/>
    <w:rsid w:val="00FA559B"/>
    <w:rsid w:val="00FB7BB9"/>
    <w:rsid w:val="00FC4860"/>
    <w:rsid w:val="00FD3DFB"/>
    <w:rsid w:val="00FD5E7D"/>
    <w:rsid w:val="00FE03E0"/>
    <w:rsid w:val="00FE7A25"/>
    <w:rsid w:val="00FE7B65"/>
    <w:rsid w:val="00FF1AC5"/>
    <w:rsid w:val="00FF529C"/>
    <w:rsid w:val="00FF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291F8-329F-4970-BF09-6F0B5DA1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5A"/>
    <w:pPr>
      <w:spacing w:after="0" w:line="240" w:lineRule="auto"/>
    </w:pPr>
    <w:rPr>
      <w:rFonts w:ascii="Times New Roman" w:hAnsi="Times New Roman"/>
      <w:sz w:val="24"/>
      <w:szCs w:val="20"/>
    </w:rPr>
  </w:style>
  <w:style w:type="paragraph" w:styleId="Heading1">
    <w:name w:val="heading 1"/>
    <w:basedOn w:val="Normal"/>
    <w:next w:val="Normal"/>
    <w:link w:val="Heading1Char"/>
    <w:uiPriority w:val="9"/>
    <w:qFormat/>
    <w:rsid w:val="006178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8EE"/>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03B2C"/>
    <w:rPr>
      <w:sz w:val="20"/>
    </w:rPr>
  </w:style>
  <w:style w:type="character" w:customStyle="1" w:styleId="FootnoteTextChar">
    <w:name w:val="Footnote Text Char"/>
    <w:basedOn w:val="DefaultParagraphFont"/>
    <w:link w:val="FootnoteText"/>
    <w:uiPriority w:val="99"/>
    <w:semiHidden/>
    <w:rsid w:val="00A03B2C"/>
    <w:rPr>
      <w:rFonts w:ascii="Times New Roman" w:hAnsi="Times New Roman"/>
      <w:sz w:val="20"/>
      <w:szCs w:val="20"/>
    </w:rPr>
  </w:style>
  <w:style w:type="character" w:styleId="FootnoteReference">
    <w:name w:val="footnote reference"/>
    <w:basedOn w:val="DefaultParagraphFont"/>
    <w:uiPriority w:val="99"/>
    <w:semiHidden/>
    <w:unhideWhenUsed/>
    <w:rsid w:val="00A03B2C"/>
    <w:rPr>
      <w:vertAlign w:val="superscript"/>
    </w:rPr>
  </w:style>
  <w:style w:type="paragraph" w:styleId="Header">
    <w:name w:val="header"/>
    <w:basedOn w:val="Normal"/>
    <w:link w:val="HeaderChar"/>
    <w:uiPriority w:val="99"/>
    <w:unhideWhenUsed/>
    <w:rsid w:val="00E42F52"/>
    <w:pPr>
      <w:tabs>
        <w:tab w:val="center" w:pos="4513"/>
        <w:tab w:val="right" w:pos="9026"/>
      </w:tabs>
    </w:pPr>
  </w:style>
  <w:style w:type="character" w:customStyle="1" w:styleId="HeaderChar">
    <w:name w:val="Header Char"/>
    <w:basedOn w:val="DefaultParagraphFont"/>
    <w:link w:val="Header"/>
    <w:uiPriority w:val="99"/>
    <w:rsid w:val="00E42F52"/>
    <w:rPr>
      <w:rFonts w:ascii="Times New Roman" w:hAnsi="Times New Roman"/>
      <w:sz w:val="24"/>
      <w:szCs w:val="20"/>
    </w:rPr>
  </w:style>
  <w:style w:type="paragraph" w:styleId="Footer">
    <w:name w:val="footer"/>
    <w:basedOn w:val="Normal"/>
    <w:link w:val="FooterChar"/>
    <w:uiPriority w:val="99"/>
    <w:unhideWhenUsed/>
    <w:rsid w:val="00E42F52"/>
    <w:pPr>
      <w:tabs>
        <w:tab w:val="center" w:pos="4513"/>
        <w:tab w:val="right" w:pos="9026"/>
      </w:tabs>
    </w:pPr>
  </w:style>
  <w:style w:type="character" w:customStyle="1" w:styleId="FooterChar">
    <w:name w:val="Footer Char"/>
    <w:basedOn w:val="DefaultParagraphFont"/>
    <w:link w:val="Footer"/>
    <w:uiPriority w:val="99"/>
    <w:rsid w:val="00E42F52"/>
    <w:rPr>
      <w:rFonts w:ascii="Times New Roman" w:hAnsi="Times New Roman"/>
      <w:sz w:val="24"/>
      <w:szCs w:val="20"/>
    </w:rPr>
  </w:style>
  <w:style w:type="character" w:styleId="CommentReference">
    <w:name w:val="annotation reference"/>
    <w:basedOn w:val="DefaultParagraphFont"/>
    <w:uiPriority w:val="99"/>
    <w:semiHidden/>
    <w:unhideWhenUsed/>
    <w:rsid w:val="00744E8B"/>
    <w:rPr>
      <w:sz w:val="16"/>
      <w:szCs w:val="16"/>
    </w:rPr>
  </w:style>
  <w:style w:type="paragraph" w:styleId="CommentText">
    <w:name w:val="annotation text"/>
    <w:basedOn w:val="Normal"/>
    <w:link w:val="CommentTextChar"/>
    <w:uiPriority w:val="99"/>
    <w:semiHidden/>
    <w:unhideWhenUsed/>
    <w:rsid w:val="00744E8B"/>
    <w:rPr>
      <w:sz w:val="20"/>
    </w:rPr>
  </w:style>
  <w:style w:type="character" w:customStyle="1" w:styleId="CommentTextChar">
    <w:name w:val="Comment Text Char"/>
    <w:basedOn w:val="DefaultParagraphFont"/>
    <w:link w:val="CommentText"/>
    <w:uiPriority w:val="99"/>
    <w:semiHidden/>
    <w:rsid w:val="00744E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4E8B"/>
    <w:rPr>
      <w:b/>
      <w:bCs/>
    </w:rPr>
  </w:style>
  <w:style w:type="character" w:customStyle="1" w:styleId="CommentSubjectChar">
    <w:name w:val="Comment Subject Char"/>
    <w:basedOn w:val="CommentTextChar"/>
    <w:link w:val="CommentSubject"/>
    <w:uiPriority w:val="99"/>
    <w:semiHidden/>
    <w:rsid w:val="00744E8B"/>
    <w:rPr>
      <w:rFonts w:ascii="Times New Roman" w:hAnsi="Times New Roman"/>
      <w:b/>
      <w:bCs/>
      <w:sz w:val="20"/>
      <w:szCs w:val="20"/>
    </w:rPr>
  </w:style>
  <w:style w:type="paragraph" w:styleId="BalloonText">
    <w:name w:val="Balloon Text"/>
    <w:basedOn w:val="Normal"/>
    <w:link w:val="BalloonTextChar"/>
    <w:uiPriority w:val="99"/>
    <w:semiHidden/>
    <w:unhideWhenUsed/>
    <w:rsid w:val="00744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1655B4-55DF-4955-89F1-ED7731C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Deborah Wynne</cp:lastModifiedBy>
  <cp:revision>3</cp:revision>
  <cp:lastPrinted>2016-07-15T14:51:00Z</cp:lastPrinted>
  <dcterms:created xsi:type="dcterms:W3CDTF">2016-10-19T17:39:00Z</dcterms:created>
  <dcterms:modified xsi:type="dcterms:W3CDTF">2016-10-19T17:39:00Z</dcterms:modified>
</cp:coreProperties>
</file>