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CE" w:rsidRPr="006356D5" w:rsidRDefault="00A519FD" w:rsidP="00A51E6E">
      <w:pPr>
        <w:spacing w:line="480" w:lineRule="auto"/>
        <w:jc w:val="center"/>
        <w:rPr>
          <w:rFonts w:cs="Times New Roman"/>
          <w:bCs/>
          <w:sz w:val="22"/>
          <w:szCs w:val="22"/>
        </w:rPr>
      </w:pPr>
      <w:r w:rsidRPr="006356D5">
        <w:rPr>
          <w:rFonts w:cs="Times New Roman"/>
          <w:bCs/>
          <w:sz w:val="22"/>
          <w:szCs w:val="22"/>
        </w:rPr>
        <w:t xml:space="preserve">St </w:t>
      </w:r>
      <w:proofErr w:type="spellStart"/>
      <w:r w:rsidRPr="006356D5">
        <w:rPr>
          <w:rFonts w:cs="Times New Roman"/>
          <w:bCs/>
          <w:sz w:val="22"/>
          <w:szCs w:val="22"/>
        </w:rPr>
        <w:t>Pientia</w:t>
      </w:r>
      <w:proofErr w:type="spellEnd"/>
      <w:r w:rsidRPr="006356D5">
        <w:rPr>
          <w:rFonts w:cs="Times New Roman"/>
          <w:bCs/>
          <w:sz w:val="22"/>
          <w:szCs w:val="22"/>
        </w:rPr>
        <w:t xml:space="preserve"> and the C</w:t>
      </w:r>
      <w:r w:rsidR="00A51E6E" w:rsidRPr="006356D5">
        <w:rPr>
          <w:rFonts w:cs="Times New Roman"/>
          <w:bCs/>
          <w:sz w:val="22"/>
          <w:szCs w:val="22"/>
        </w:rPr>
        <w:t>hâteau de la Roche-</w:t>
      </w:r>
      <w:proofErr w:type="spellStart"/>
      <w:r w:rsidR="00A51E6E" w:rsidRPr="006356D5">
        <w:rPr>
          <w:rFonts w:cs="Times New Roman"/>
          <w:bCs/>
          <w:sz w:val="22"/>
          <w:szCs w:val="22"/>
        </w:rPr>
        <w:t>Guyon</w:t>
      </w:r>
      <w:proofErr w:type="spellEnd"/>
      <w:r w:rsidR="00A51E6E" w:rsidRPr="006356D5">
        <w:rPr>
          <w:rFonts w:cs="Times New Roman"/>
          <w:bCs/>
          <w:sz w:val="22"/>
          <w:szCs w:val="22"/>
        </w:rPr>
        <w:t xml:space="preserve">: </w:t>
      </w:r>
      <w:r w:rsidR="00A51E6E" w:rsidRPr="00D90178">
        <w:rPr>
          <w:rFonts w:cs="Times New Roman"/>
          <w:bCs/>
          <w:sz w:val="22"/>
          <w:szCs w:val="22"/>
        </w:rPr>
        <w:t>Relic Translations and</w:t>
      </w:r>
      <w:r w:rsidRPr="00D90178">
        <w:rPr>
          <w:rFonts w:cs="Times New Roman"/>
          <w:bCs/>
          <w:sz w:val="22"/>
          <w:szCs w:val="22"/>
        </w:rPr>
        <w:t xml:space="preserve"> Sacred History in Seventeenth-C</w:t>
      </w:r>
      <w:r w:rsidR="00A51E6E" w:rsidRPr="00D90178">
        <w:rPr>
          <w:rFonts w:cs="Times New Roman"/>
          <w:bCs/>
          <w:sz w:val="22"/>
          <w:szCs w:val="22"/>
        </w:rPr>
        <w:t>entury France</w:t>
      </w:r>
    </w:p>
    <w:p w:rsidR="004B23EC" w:rsidRDefault="004B23EC" w:rsidP="0042477C">
      <w:pPr>
        <w:spacing w:line="480" w:lineRule="auto"/>
        <w:rPr>
          <w:rFonts w:cs="Times New Roman"/>
          <w:i/>
          <w:sz w:val="22"/>
          <w:szCs w:val="22"/>
        </w:rPr>
      </w:pPr>
    </w:p>
    <w:p w:rsidR="003F786F" w:rsidRPr="00D90178" w:rsidRDefault="00A51E6E" w:rsidP="0042477C">
      <w:pPr>
        <w:spacing w:line="480" w:lineRule="auto"/>
        <w:rPr>
          <w:rFonts w:cs="Times New Roman"/>
          <w:sz w:val="22"/>
          <w:szCs w:val="22"/>
        </w:rPr>
      </w:pPr>
      <w:r w:rsidRPr="00D90178">
        <w:rPr>
          <w:rFonts w:cs="Times New Roman"/>
          <w:i/>
          <w:sz w:val="22"/>
          <w:szCs w:val="22"/>
        </w:rPr>
        <w:t>This article seeks to explore the connections between the translation of an early Christian relic</w:t>
      </w:r>
      <w:r w:rsidR="00A519FD" w:rsidRPr="00D90178">
        <w:rPr>
          <w:rFonts w:cs="Times New Roman"/>
          <w:i/>
          <w:sz w:val="22"/>
          <w:szCs w:val="22"/>
        </w:rPr>
        <w:t xml:space="preserve"> to the C</w:t>
      </w:r>
      <w:r w:rsidR="002130E3">
        <w:rPr>
          <w:rFonts w:cs="Times New Roman"/>
          <w:i/>
          <w:sz w:val="22"/>
          <w:szCs w:val="22"/>
        </w:rPr>
        <w:t>hâ</w:t>
      </w:r>
      <w:r w:rsidRPr="00D90178">
        <w:rPr>
          <w:rFonts w:cs="Times New Roman"/>
          <w:i/>
          <w:sz w:val="22"/>
          <w:szCs w:val="22"/>
        </w:rPr>
        <w:t>te</w:t>
      </w:r>
      <w:r w:rsidR="002130E3">
        <w:rPr>
          <w:rFonts w:cs="Times New Roman"/>
          <w:i/>
          <w:sz w:val="22"/>
          <w:szCs w:val="22"/>
        </w:rPr>
        <w:t>au de l</w:t>
      </w:r>
      <w:r w:rsidR="00A519FD" w:rsidRPr="00D90178">
        <w:rPr>
          <w:rFonts w:cs="Times New Roman"/>
          <w:i/>
          <w:sz w:val="22"/>
          <w:szCs w:val="22"/>
        </w:rPr>
        <w:t>a Roche-</w:t>
      </w:r>
      <w:proofErr w:type="spellStart"/>
      <w:r w:rsidR="00A519FD" w:rsidRPr="00D90178">
        <w:rPr>
          <w:rFonts w:cs="Times New Roman"/>
          <w:i/>
          <w:sz w:val="22"/>
          <w:szCs w:val="22"/>
        </w:rPr>
        <w:t>Guyon</w:t>
      </w:r>
      <w:proofErr w:type="spellEnd"/>
      <w:r w:rsidR="00A519FD" w:rsidRPr="00D90178">
        <w:rPr>
          <w:rFonts w:cs="Times New Roman"/>
          <w:i/>
          <w:sz w:val="22"/>
          <w:szCs w:val="22"/>
        </w:rPr>
        <w:t xml:space="preserve"> in the mid-seventeenth century</w:t>
      </w:r>
      <w:r w:rsidRPr="00D90178">
        <w:rPr>
          <w:rFonts w:cs="Times New Roman"/>
          <w:i/>
          <w:sz w:val="22"/>
          <w:szCs w:val="22"/>
        </w:rPr>
        <w:t xml:space="preserve"> and the writin</w:t>
      </w:r>
      <w:r w:rsidR="00A519FD" w:rsidRPr="00D90178">
        <w:rPr>
          <w:rFonts w:cs="Times New Roman"/>
          <w:i/>
          <w:sz w:val="22"/>
          <w:szCs w:val="22"/>
        </w:rPr>
        <w:t>g of local sacred histories by the</w:t>
      </w:r>
      <w:r w:rsidRPr="00D90178">
        <w:rPr>
          <w:rFonts w:cs="Times New Roman"/>
          <w:i/>
          <w:sz w:val="22"/>
          <w:szCs w:val="22"/>
        </w:rPr>
        <w:t xml:space="preserve"> priest and prior Nicolas </w:t>
      </w:r>
      <w:proofErr w:type="spellStart"/>
      <w:r w:rsidRPr="00D90178">
        <w:rPr>
          <w:rFonts w:cs="Times New Roman"/>
          <w:i/>
          <w:sz w:val="22"/>
          <w:szCs w:val="22"/>
        </w:rPr>
        <w:t>Davanne</w:t>
      </w:r>
      <w:proofErr w:type="spellEnd"/>
      <w:r w:rsidRPr="00D90178">
        <w:rPr>
          <w:rFonts w:cs="Times New Roman"/>
          <w:i/>
          <w:sz w:val="22"/>
          <w:szCs w:val="22"/>
        </w:rPr>
        <w:t xml:space="preserve">. </w:t>
      </w:r>
      <w:r w:rsidR="00A519FD" w:rsidRPr="00D90178">
        <w:rPr>
          <w:rFonts w:cs="Times New Roman"/>
          <w:i/>
          <w:sz w:val="22"/>
          <w:szCs w:val="22"/>
        </w:rPr>
        <w:t>It</w:t>
      </w:r>
      <w:r w:rsidRPr="00D90178">
        <w:rPr>
          <w:rFonts w:cs="Times New Roman"/>
          <w:i/>
          <w:sz w:val="22"/>
          <w:szCs w:val="22"/>
        </w:rPr>
        <w:t xml:space="preserve"> finds that the tran</w:t>
      </w:r>
      <w:r w:rsidR="00A519FD" w:rsidRPr="00D90178">
        <w:rPr>
          <w:rFonts w:cs="Times New Roman"/>
          <w:i/>
          <w:sz w:val="22"/>
          <w:szCs w:val="22"/>
        </w:rPr>
        <w:t>slation of a finger bone of S</w:t>
      </w:r>
      <w:r w:rsidRPr="00D90178">
        <w:rPr>
          <w:rFonts w:cs="Times New Roman"/>
          <w:i/>
          <w:sz w:val="22"/>
          <w:szCs w:val="22"/>
        </w:rPr>
        <w:t xml:space="preserve">t </w:t>
      </w:r>
      <w:proofErr w:type="spellStart"/>
      <w:r w:rsidRPr="00D90178">
        <w:rPr>
          <w:rFonts w:cs="Times New Roman"/>
          <w:i/>
          <w:sz w:val="22"/>
          <w:szCs w:val="22"/>
        </w:rPr>
        <w:t>Pientia</w:t>
      </w:r>
      <w:proofErr w:type="spellEnd"/>
      <w:r w:rsidRPr="00D90178">
        <w:rPr>
          <w:rFonts w:cs="Times New Roman"/>
          <w:i/>
          <w:sz w:val="22"/>
          <w:szCs w:val="22"/>
        </w:rPr>
        <w:t xml:space="preserve"> was the culmination of efforts by a local scholar to revive the sacred history of the </w:t>
      </w:r>
      <w:proofErr w:type="spellStart"/>
      <w:r w:rsidRPr="00D90178">
        <w:rPr>
          <w:rFonts w:cs="Times New Roman"/>
          <w:i/>
          <w:sz w:val="22"/>
          <w:szCs w:val="22"/>
        </w:rPr>
        <w:t>Vexin</w:t>
      </w:r>
      <w:proofErr w:type="spellEnd"/>
      <w:r w:rsidRPr="00D90178">
        <w:rPr>
          <w:rFonts w:cs="Times New Roman"/>
          <w:i/>
          <w:sz w:val="22"/>
          <w:szCs w:val="22"/>
        </w:rPr>
        <w:t xml:space="preserve"> and </w:t>
      </w:r>
      <w:r w:rsidR="00A519FD" w:rsidRPr="00D90178">
        <w:rPr>
          <w:rFonts w:cs="Times New Roman"/>
          <w:i/>
          <w:sz w:val="22"/>
          <w:szCs w:val="22"/>
        </w:rPr>
        <w:t xml:space="preserve">to </w:t>
      </w:r>
      <w:r w:rsidRPr="00D90178">
        <w:rPr>
          <w:rFonts w:cs="Times New Roman"/>
          <w:i/>
          <w:sz w:val="22"/>
          <w:szCs w:val="22"/>
          <w:lang w:val="en-US"/>
        </w:rPr>
        <w:t>celebrate the regional liturgical traditions associated with its early Christian martyrs</w:t>
      </w:r>
      <w:r w:rsidRPr="00D90178">
        <w:rPr>
          <w:rFonts w:cs="Times New Roman"/>
          <w:i/>
          <w:sz w:val="22"/>
          <w:szCs w:val="22"/>
        </w:rPr>
        <w:t>. In doing so, it finds support for the recent historiography on local, sacred histories which emerged durin</w:t>
      </w:r>
      <w:r w:rsidR="00D90178" w:rsidRPr="00D90178">
        <w:rPr>
          <w:rFonts w:cs="Times New Roman"/>
          <w:i/>
          <w:sz w:val="22"/>
          <w:szCs w:val="22"/>
        </w:rPr>
        <w:t>g the Counter-</w:t>
      </w:r>
      <w:r w:rsidRPr="00D90178">
        <w:rPr>
          <w:rFonts w:cs="Times New Roman"/>
          <w:i/>
          <w:sz w:val="22"/>
          <w:szCs w:val="22"/>
        </w:rPr>
        <w:t>Reformation in response to liturgical standardization. The article also discusses the unstable nature of relics as material objects and explores the ways in which relics were continually reinv</w:t>
      </w:r>
      <w:r w:rsidR="00A519FD" w:rsidRPr="00D90178">
        <w:rPr>
          <w:rFonts w:cs="Times New Roman"/>
          <w:i/>
          <w:sz w:val="22"/>
          <w:szCs w:val="22"/>
        </w:rPr>
        <w:t>ested with meaning. It is shown</w:t>
      </w:r>
      <w:r w:rsidRPr="00D90178">
        <w:rPr>
          <w:rFonts w:cs="Times New Roman"/>
          <w:i/>
          <w:sz w:val="22"/>
          <w:szCs w:val="22"/>
        </w:rPr>
        <w:t xml:space="preserve"> that </w:t>
      </w:r>
      <w:proofErr w:type="spellStart"/>
      <w:r w:rsidRPr="00D90178">
        <w:rPr>
          <w:rFonts w:cs="Times New Roman"/>
          <w:i/>
          <w:sz w:val="22"/>
          <w:szCs w:val="22"/>
        </w:rPr>
        <w:t>Pientia’s</w:t>
      </w:r>
      <w:proofErr w:type="spellEnd"/>
      <w:r w:rsidRPr="00D90178">
        <w:rPr>
          <w:rFonts w:cs="Times New Roman"/>
          <w:i/>
          <w:sz w:val="22"/>
          <w:szCs w:val="22"/>
        </w:rPr>
        <w:t xml:space="preserve"> relic was not only part of a </w:t>
      </w:r>
      <w:proofErr w:type="spellStart"/>
      <w:r w:rsidRPr="00D90178">
        <w:rPr>
          <w:rFonts w:cs="Times New Roman"/>
          <w:i/>
          <w:sz w:val="22"/>
          <w:szCs w:val="22"/>
          <w:lang w:val="en-US"/>
        </w:rPr>
        <w:t>defence</w:t>
      </w:r>
      <w:proofErr w:type="spellEnd"/>
      <w:r w:rsidRPr="00D90178">
        <w:rPr>
          <w:rFonts w:cs="Times New Roman"/>
          <w:i/>
          <w:sz w:val="22"/>
          <w:szCs w:val="22"/>
          <w:lang w:val="en-US"/>
        </w:rPr>
        <w:t xml:space="preserve"> of a local spiritual heritage in response to Trent, but also </w:t>
      </w:r>
      <w:r w:rsidRPr="00D90178">
        <w:rPr>
          <w:rFonts w:cs="Times New Roman"/>
          <w:i/>
          <w:sz w:val="22"/>
          <w:szCs w:val="22"/>
        </w:rPr>
        <w:t>part of a claim to an early Christian</w:t>
      </w:r>
      <w:r w:rsidRPr="00D90178">
        <w:rPr>
          <w:rFonts w:cs="Times New Roman"/>
          <w:i/>
          <w:sz w:val="22"/>
          <w:szCs w:val="22"/>
          <w:lang w:val="en-US"/>
        </w:rPr>
        <w:t xml:space="preserve"> spiritual heritage for a deviant and heretical movement within the Church</w:t>
      </w:r>
      <w:r w:rsidRPr="00D90178">
        <w:rPr>
          <w:rFonts w:cs="Times New Roman"/>
          <w:i/>
          <w:sz w:val="22"/>
          <w:szCs w:val="22"/>
        </w:rPr>
        <w:t>.</w:t>
      </w:r>
    </w:p>
    <w:p w:rsidR="003F786F" w:rsidRPr="00D90178" w:rsidRDefault="003F786F" w:rsidP="003F786F">
      <w:pPr>
        <w:spacing w:line="480" w:lineRule="auto"/>
        <w:jc w:val="center"/>
        <w:rPr>
          <w:rFonts w:cs="Times New Roman"/>
          <w:sz w:val="22"/>
          <w:szCs w:val="22"/>
        </w:rPr>
      </w:pPr>
      <w:r w:rsidRPr="00D90178">
        <w:rPr>
          <w:rFonts w:cs="Times New Roman"/>
          <w:sz w:val="22"/>
          <w:szCs w:val="22"/>
        </w:rPr>
        <w:t>_____________________________________</w:t>
      </w:r>
    </w:p>
    <w:p w:rsidR="009501FC" w:rsidRPr="00D90178" w:rsidRDefault="009501FC" w:rsidP="00A51E6E">
      <w:pPr>
        <w:pStyle w:val="SCHfirstpara"/>
      </w:pPr>
    </w:p>
    <w:p w:rsidR="00A51E6E" w:rsidRPr="00D90178" w:rsidRDefault="00A51E6E" w:rsidP="00A51E6E">
      <w:pPr>
        <w:pStyle w:val="SCHfirstpara"/>
        <w:rPr>
          <w:smallCaps/>
        </w:rPr>
      </w:pPr>
      <w:r w:rsidRPr="00D90178">
        <w:rPr>
          <w:smallCaps/>
        </w:rPr>
        <w:t xml:space="preserve">Introduction: Reinventing Relics </w:t>
      </w:r>
    </w:p>
    <w:p w:rsidR="009501FC" w:rsidRPr="00D90178" w:rsidRDefault="009501FC" w:rsidP="00A51E6E">
      <w:pPr>
        <w:pStyle w:val="SCHfirstpara"/>
      </w:pPr>
    </w:p>
    <w:p w:rsidR="00A51E6E" w:rsidRPr="00D90178" w:rsidRDefault="00A51E6E" w:rsidP="00A51E6E">
      <w:pPr>
        <w:pStyle w:val="SCHfirstpara"/>
        <w:rPr>
          <w:rFonts w:eastAsia="Times New Roman"/>
          <w:lang w:eastAsia="en-GB"/>
        </w:rPr>
      </w:pPr>
      <w:r w:rsidRPr="00D90178">
        <w:t xml:space="preserve">On 29 October 1656, the archbishop of Rouen carried out </w:t>
      </w:r>
      <w:r w:rsidR="00A519FD" w:rsidRPr="00D90178">
        <w:t>an episcopal visitation at the C</w:t>
      </w:r>
      <w:r w:rsidRPr="00D90178">
        <w:t>hâteau de La Roche-</w:t>
      </w:r>
      <w:proofErr w:type="spellStart"/>
      <w:r w:rsidRPr="00D90178">
        <w:t>Guyon</w:t>
      </w:r>
      <w:proofErr w:type="spellEnd"/>
      <w:r w:rsidRPr="00D90178">
        <w:t xml:space="preserve">, property of the </w:t>
      </w:r>
      <w:proofErr w:type="spellStart"/>
      <w:r w:rsidRPr="00D90178">
        <w:t>duc</w:t>
      </w:r>
      <w:proofErr w:type="spellEnd"/>
      <w:r w:rsidRPr="00D90178">
        <w:t xml:space="preserve"> and duchesse de Liancourt. The purpose of </w:t>
      </w:r>
      <w:r w:rsidR="00A519FD" w:rsidRPr="00D90178">
        <w:t xml:space="preserve">the visitation of </w:t>
      </w:r>
      <w:r w:rsidRPr="00D90178">
        <w:t xml:space="preserve">Archbishop </w:t>
      </w:r>
      <w:r w:rsidR="00A519FD" w:rsidRPr="00D90178">
        <w:t xml:space="preserve">François </w:t>
      </w:r>
      <w:proofErr w:type="spellStart"/>
      <w:r w:rsidR="00A519FD" w:rsidRPr="00D90178">
        <w:t>Harlay</w:t>
      </w:r>
      <w:proofErr w:type="spellEnd"/>
      <w:r w:rsidR="00A519FD" w:rsidRPr="00D90178">
        <w:t xml:space="preserve"> de </w:t>
      </w:r>
      <w:proofErr w:type="spellStart"/>
      <w:r w:rsidR="00A519FD" w:rsidRPr="00D90178">
        <w:t>Champvallon</w:t>
      </w:r>
      <w:proofErr w:type="spellEnd"/>
      <w:r w:rsidRPr="00D90178">
        <w:t xml:space="preserve"> (1625–95) was to verify the authenticity of the saintly relics preserved in a silver reliquary in the </w:t>
      </w:r>
      <w:proofErr w:type="spellStart"/>
      <w:r w:rsidR="00A519FD" w:rsidRPr="00D90178">
        <w:rPr>
          <w:iCs/>
        </w:rPr>
        <w:t>C</w:t>
      </w:r>
      <w:r w:rsidRPr="00D90178">
        <w:rPr>
          <w:iCs/>
        </w:rPr>
        <w:t>hapelle</w:t>
      </w:r>
      <w:proofErr w:type="spellEnd"/>
      <w:r w:rsidRPr="00D90178">
        <w:rPr>
          <w:iCs/>
        </w:rPr>
        <w:t xml:space="preserve"> de Notre-Dame-des-Neiges</w:t>
      </w:r>
      <w:r w:rsidRPr="00D90178">
        <w:t>.</w:t>
      </w:r>
      <w:r w:rsidRPr="00D90178">
        <w:rPr>
          <w:rStyle w:val="FootnoteReference"/>
          <w:rFonts w:ascii="Times New Roman" w:hAnsi="Times New Roman"/>
          <w:sz w:val="22"/>
        </w:rPr>
        <w:footnoteReference w:id="1"/>
      </w:r>
      <w:r w:rsidRPr="00D90178">
        <w:t xml:space="preserve"> Among the holy objects in the château was a relic recently translated from </w:t>
      </w:r>
      <w:r w:rsidRPr="00D90178">
        <w:lastRenderedPageBreak/>
        <w:t>the monastery of Saint-</w:t>
      </w:r>
      <w:proofErr w:type="spellStart"/>
      <w:r w:rsidRPr="00D90178">
        <w:t>Nicaise</w:t>
      </w:r>
      <w:proofErr w:type="spellEnd"/>
      <w:r w:rsidRPr="00D90178">
        <w:t xml:space="preserve"> at </w:t>
      </w:r>
      <w:proofErr w:type="spellStart"/>
      <w:proofErr w:type="gramStart"/>
      <w:r w:rsidRPr="00D90178">
        <w:t>Meulan</w:t>
      </w:r>
      <w:proofErr w:type="spellEnd"/>
      <w:r w:rsidRPr="00D90178">
        <w:t>.</w:t>
      </w:r>
      <w:proofErr w:type="gramEnd"/>
      <w:r w:rsidRPr="00D90178">
        <w:t xml:space="preserve"> The relic was a finger of the third-</w:t>
      </w:r>
      <w:r w:rsidR="00A519FD" w:rsidRPr="00D90178">
        <w:t>century noble virgin martyr S</w:t>
      </w:r>
      <w:r w:rsidRPr="00D90178">
        <w:t xml:space="preserve">t </w:t>
      </w:r>
      <w:proofErr w:type="spellStart"/>
      <w:r w:rsidRPr="00D90178">
        <w:t>Pientia</w:t>
      </w:r>
      <w:proofErr w:type="spellEnd"/>
      <w:r w:rsidRPr="00D90178">
        <w:t xml:space="preserve"> (or </w:t>
      </w:r>
      <w:proofErr w:type="spellStart"/>
      <w:r w:rsidRPr="00D90178">
        <w:t>Pience</w:t>
      </w:r>
      <w:proofErr w:type="spellEnd"/>
      <w:r w:rsidRPr="00D90178">
        <w:t xml:space="preserve">). </w:t>
      </w:r>
      <w:proofErr w:type="spellStart"/>
      <w:r w:rsidRPr="00D90178">
        <w:t>Pientia</w:t>
      </w:r>
      <w:proofErr w:type="spellEnd"/>
      <w:r w:rsidRPr="00D90178">
        <w:t xml:space="preserve"> was converted to Christianity at La Roche-</w:t>
      </w:r>
      <w:proofErr w:type="spellStart"/>
      <w:r w:rsidRPr="00D90178">
        <w:t>Guyon</w:t>
      </w:r>
      <w:proofErr w:type="spellEnd"/>
      <w:r w:rsidRPr="00D90178">
        <w:t xml:space="preserve"> through the eva</w:t>
      </w:r>
      <w:r w:rsidR="00A519FD" w:rsidRPr="00D90178">
        <w:t>ngelizing of the missionary S</w:t>
      </w:r>
      <w:r w:rsidRPr="00D90178">
        <w:t xml:space="preserve">t </w:t>
      </w:r>
      <w:proofErr w:type="spellStart"/>
      <w:r w:rsidRPr="00D90178">
        <w:t>Nicasius</w:t>
      </w:r>
      <w:proofErr w:type="spellEnd"/>
      <w:r w:rsidRPr="00D90178">
        <w:t xml:space="preserve"> and his companions </w:t>
      </w:r>
      <w:proofErr w:type="spellStart"/>
      <w:r w:rsidRPr="00D90178">
        <w:t>Scubiculus</w:t>
      </w:r>
      <w:proofErr w:type="spellEnd"/>
      <w:r w:rsidRPr="00D90178">
        <w:t xml:space="preserve"> and </w:t>
      </w:r>
      <w:proofErr w:type="spellStart"/>
      <w:r w:rsidRPr="00D90178">
        <w:t>Quirinus</w:t>
      </w:r>
      <w:proofErr w:type="spellEnd"/>
      <w:r w:rsidRPr="00D90178">
        <w:t xml:space="preserve"> during their journeys along the Seine.</w:t>
      </w:r>
      <w:r w:rsidRPr="00D90178">
        <w:rPr>
          <w:rStyle w:val="FootnoteReference"/>
          <w:rFonts w:ascii="Times New Roman" w:hAnsi="Times New Roman"/>
          <w:sz w:val="22"/>
        </w:rPr>
        <w:footnoteReference w:id="2"/>
      </w:r>
      <w:r w:rsidRPr="00D90178">
        <w:t xml:space="preserve"> </w:t>
      </w:r>
    </w:p>
    <w:p w:rsidR="00A51E6E" w:rsidRPr="00D90178" w:rsidRDefault="00A51E6E" w:rsidP="00A51E6E">
      <w:pPr>
        <w:pStyle w:val="SCHfollowingpara"/>
      </w:pPr>
      <w:r w:rsidRPr="00D90178">
        <w:t>La Roche-</w:t>
      </w:r>
      <w:proofErr w:type="spellStart"/>
      <w:r w:rsidRPr="00D90178">
        <w:t>Guyon</w:t>
      </w:r>
      <w:proofErr w:type="spellEnd"/>
      <w:r w:rsidRPr="00D90178">
        <w:t xml:space="preserve"> was situated on a commercial route between Paris and Rouen, on the right </w:t>
      </w:r>
      <w:r w:rsidR="00A519FD" w:rsidRPr="00D90178">
        <w:t xml:space="preserve">bank of the Seine in the </w:t>
      </w:r>
      <w:proofErr w:type="spellStart"/>
      <w:r w:rsidRPr="00D90178">
        <w:t>Vexin</w:t>
      </w:r>
      <w:proofErr w:type="spellEnd"/>
      <w:r w:rsidRPr="00D90178">
        <w:t>, on the border of Normandy.</w:t>
      </w:r>
      <w:r w:rsidRPr="00D90178">
        <w:rPr>
          <w:rStyle w:val="FootnoteReference"/>
          <w:rFonts w:ascii="Times New Roman" w:hAnsi="Times New Roman"/>
          <w:sz w:val="22"/>
        </w:rPr>
        <w:footnoteReference w:id="3"/>
      </w:r>
      <w:r w:rsidRPr="00D90178">
        <w:t xml:space="preserve"> The seventeenth-century proprietors of La Roche-</w:t>
      </w:r>
      <w:proofErr w:type="spellStart"/>
      <w:r w:rsidRPr="00D90178">
        <w:t>Guyon</w:t>
      </w:r>
      <w:proofErr w:type="spellEnd"/>
      <w:r w:rsidRPr="00D90178">
        <w:t xml:space="preserve">, Roger du Plessis and Jeanne de </w:t>
      </w:r>
      <w:proofErr w:type="spellStart"/>
      <w:r w:rsidRPr="00D90178">
        <w:t>Schomberg</w:t>
      </w:r>
      <w:proofErr w:type="spellEnd"/>
      <w:r w:rsidRPr="00D90178">
        <w:t>, were distinguished patrons of the C</w:t>
      </w:r>
      <w:r w:rsidR="00A519FD" w:rsidRPr="00D90178">
        <w:t>istercian convent of Port-Royal,</w:t>
      </w:r>
      <w:r w:rsidRPr="00D90178">
        <w:t xml:space="preserve"> a relationship strengthened by their loyalty during the theological </w:t>
      </w:r>
      <w:proofErr w:type="gramStart"/>
      <w:r w:rsidR="008F2610">
        <w:t xml:space="preserve">controversies </w:t>
      </w:r>
      <w:r w:rsidRPr="00D90178">
        <w:t xml:space="preserve"> of</w:t>
      </w:r>
      <w:proofErr w:type="gramEnd"/>
      <w:r w:rsidRPr="00D90178">
        <w:t xml:space="preserve"> the seventeenth century. </w:t>
      </w:r>
      <w:r w:rsidR="00496DDC">
        <w:t xml:space="preserve">In the mid-seventeenth century, </w:t>
      </w:r>
      <w:r w:rsidR="008F2610">
        <w:t>Port-Royal was persecuted for being one of the sites at which the ‘heretical’ ideas of the Dutch theologian Cornelius Jansen (1585 – 1638) on grace, free will and salvation held sway.</w:t>
      </w:r>
      <w:r w:rsidR="00496DDC">
        <w:rPr>
          <w:rStyle w:val="FootnoteReference"/>
        </w:rPr>
        <w:footnoteReference w:id="4"/>
      </w:r>
      <w:r w:rsidR="008F2610">
        <w:t xml:space="preserve"> </w:t>
      </w:r>
      <w:r w:rsidR="00496DDC">
        <w:t xml:space="preserve"> It was largely due to the patronage and protection of families such as the Liancourt during this period that the convent eluded destruction until 29 October 1709, when it was demolished by Louis XIV’s troops. The </w:t>
      </w:r>
      <w:proofErr w:type="spellStart"/>
      <w:r w:rsidR="00496DDC">
        <w:t>duc</w:t>
      </w:r>
      <w:proofErr w:type="spellEnd"/>
      <w:r w:rsidR="00496DDC">
        <w:t xml:space="preserve"> and duchesse </w:t>
      </w:r>
      <w:proofErr w:type="gramStart"/>
      <w:r w:rsidR="00496DDC">
        <w:t xml:space="preserve">were </w:t>
      </w:r>
      <w:r w:rsidRPr="00D90178">
        <w:t xml:space="preserve"> also</w:t>
      </w:r>
      <w:proofErr w:type="gramEnd"/>
      <w:r w:rsidRPr="00D90178">
        <w:t xml:space="preserve"> practitioners of the neo-Augustinian, penitential strand of post-Tridentine Catholicism </w:t>
      </w:r>
      <w:r w:rsidRPr="00D90178">
        <w:lastRenderedPageBreak/>
        <w:t>associated with</w:t>
      </w:r>
      <w:r w:rsidR="00A519FD" w:rsidRPr="00D90178">
        <w:t xml:space="preserve"> Port-Royal and the Jansenists</w:t>
      </w:r>
      <w:r w:rsidRPr="00D90178">
        <w:t>, now often referred to as ‘rigorist</w:t>
      </w:r>
      <w:r w:rsidR="00A519FD" w:rsidRPr="00D90178">
        <w:t>’</w:t>
      </w:r>
      <w:r w:rsidRPr="00D90178">
        <w:t>.</w:t>
      </w:r>
      <w:r w:rsidRPr="00D90178">
        <w:rPr>
          <w:rStyle w:val="FootnoteReference"/>
          <w:rFonts w:ascii="Times New Roman" w:hAnsi="Times New Roman"/>
          <w:sz w:val="22"/>
        </w:rPr>
        <w:footnoteReference w:id="5"/>
      </w:r>
      <w:r w:rsidRPr="00D90178">
        <w:t xml:space="preserve"> The </w:t>
      </w:r>
      <w:proofErr w:type="spellStart"/>
      <w:r w:rsidRPr="00D90178">
        <w:t>Liancourt</w:t>
      </w:r>
      <w:r w:rsidR="00A519FD" w:rsidRPr="00D90178">
        <w:t>s</w:t>
      </w:r>
      <w:proofErr w:type="spellEnd"/>
      <w:r w:rsidRPr="00D90178">
        <w:t xml:space="preserve"> were among the </w:t>
      </w:r>
      <w:r w:rsidRPr="00D90178">
        <w:rPr>
          <w:i/>
        </w:rPr>
        <w:t xml:space="preserve">noblesse </w:t>
      </w:r>
      <w:proofErr w:type="spellStart"/>
      <w:r w:rsidRPr="00D90178">
        <w:rPr>
          <w:i/>
        </w:rPr>
        <w:t>d</w:t>
      </w:r>
      <w:r w:rsidRPr="00D90178">
        <w:t>’</w:t>
      </w:r>
      <w:r w:rsidRPr="00D90178">
        <w:rPr>
          <w:i/>
        </w:rPr>
        <w:t>épée</w:t>
      </w:r>
      <w:proofErr w:type="spellEnd"/>
      <w:r w:rsidRPr="00D90178">
        <w:t xml:space="preserve"> (sword nobility) who had purchased positions at the royal court.</w:t>
      </w:r>
      <w:r w:rsidRPr="00D90178">
        <w:rPr>
          <w:rStyle w:val="FootnoteReference"/>
          <w:rFonts w:ascii="Times New Roman" w:hAnsi="Times New Roman"/>
          <w:sz w:val="22"/>
        </w:rPr>
        <w:footnoteReference w:id="6"/>
      </w:r>
      <w:r w:rsidRPr="00D90178">
        <w:t xml:space="preserve"> After both experiencing conversions in the mid-seventeenth century, they became known for their staunch piety. B</w:t>
      </w:r>
      <w:r w:rsidR="00D90178" w:rsidRPr="00D90178">
        <w:t>oth also seem to have internaliz</w:t>
      </w:r>
      <w:r w:rsidRPr="00D90178">
        <w:t xml:space="preserve">ed the reforming agenda of the Counter-Reformation; the </w:t>
      </w:r>
      <w:proofErr w:type="spellStart"/>
      <w:r w:rsidRPr="00D90178">
        <w:t>duc</w:t>
      </w:r>
      <w:proofErr w:type="spellEnd"/>
      <w:r w:rsidRPr="00D90178">
        <w:t xml:space="preserve"> de Liancourt was among the noble membership of the elite </w:t>
      </w:r>
      <w:proofErr w:type="spellStart"/>
      <w:r w:rsidRPr="00D90178">
        <w:rPr>
          <w:i/>
        </w:rPr>
        <w:t>dévot</w:t>
      </w:r>
      <w:proofErr w:type="spellEnd"/>
      <w:r w:rsidRPr="00D90178">
        <w:rPr>
          <w:i/>
        </w:rPr>
        <w:t xml:space="preserve"> </w:t>
      </w:r>
      <w:r w:rsidR="00D90178" w:rsidRPr="00D90178">
        <w:t>organiz</w:t>
      </w:r>
      <w:r w:rsidRPr="00D90178">
        <w:t>ation</w:t>
      </w:r>
      <w:r w:rsidR="00D90178" w:rsidRPr="00D90178">
        <w:t>,</w:t>
      </w:r>
      <w:r w:rsidRPr="00D90178">
        <w:t xml:space="preserve"> the </w:t>
      </w:r>
      <w:proofErr w:type="spellStart"/>
      <w:r w:rsidRPr="00D90178">
        <w:rPr>
          <w:i/>
        </w:rPr>
        <w:t>Compagnie</w:t>
      </w:r>
      <w:proofErr w:type="spellEnd"/>
      <w:r w:rsidRPr="00D90178">
        <w:rPr>
          <w:i/>
        </w:rPr>
        <w:t xml:space="preserve"> du Saint-</w:t>
      </w:r>
      <w:proofErr w:type="spellStart"/>
      <w:r w:rsidRPr="00D90178">
        <w:rPr>
          <w:i/>
        </w:rPr>
        <w:t>Sacrement</w:t>
      </w:r>
      <w:proofErr w:type="spellEnd"/>
      <w:r w:rsidRPr="00D90178">
        <w:t xml:space="preserve"> (Company of the Holy Sacrament) and the duchesse was one of Vincent de Paul’s most formidable </w:t>
      </w:r>
      <w:r w:rsidRPr="00D90178">
        <w:rPr>
          <w:i/>
        </w:rPr>
        <w:t xml:space="preserve">Dames de la </w:t>
      </w:r>
      <w:proofErr w:type="spellStart"/>
      <w:r w:rsidRPr="00D90178">
        <w:rPr>
          <w:i/>
        </w:rPr>
        <w:t>charité</w:t>
      </w:r>
      <w:proofErr w:type="spellEnd"/>
      <w:r w:rsidRPr="00D90178">
        <w:t xml:space="preserve"> (Ladies of Charity). </w:t>
      </w:r>
    </w:p>
    <w:p w:rsidR="00A51E6E" w:rsidRPr="00D90178" w:rsidRDefault="00A51E6E" w:rsidP="00A51E6E">
      <w:pPr>
        <w:pStyle w:val="SCHfollowingpara"/>
      </w:pPr>
      <w:r w:rsidRPr="00D90178">
        <w:t xml:space="preserve">The </w:t>
      </w:r>
      <w:proofErr w:type="spellStart"/>
      <w:r w:rsidRPr="00D90178">
        <w:t>duc</w:t>
      </w:r>
      <w:proofErr w:type="spellEnd"/>
      <w:r w:rsidRPr="00D90178">
        <w:t xml:space="preserve"> and duchesse procured the finger o</w:t>
      </w:r>
      <w:r w:rsidR="00D90178" w:rsidRPr="00D90178">
        <w:t>f S</w:t>
      </w:r>
      <w:r w:rsidRPr="00D90178">
        <w:t xml:space="preserve">t </w:t>
      </w:r>
      <w:proofErr w:type="spellStart"/>
      <w:r w:rsidRPr="00D90178">
        <w:t>Pientia</w:t>
      </w:r>
      <w:proofErr w:type="spellEnd"/>
      <w:r w:rsidRPr="00D90178">
        <w:t xml:space="preserve"> from a larger collection of relics at t</w:t>
      </w:r>
      <w:r w:rsidR="00D90178" w:rsidRPr="00D90178">
        <w:t>he Benedictine monastery of Saint-</w:t>
      </w:r>
      <w:proofErr w:type="spellStart"/>
      <w:r w:rsidR="00D90178" w:rsidRPr="00D90178">
        <w:t>Nicaise</w:t>
      </w:r>
      <w:proofErr w:type="spellEnd"/>
      <w:r w:rsidR="00D90178" w:rsidRPr="00D90178">
        <w:t xml:space="preserve"> in </w:t>
      </w:r>
      <w:proofErr w:type="spellStart"/>
      <w:r w:rsidR="00D90178" w:rsidRPr="00D90178">
        <w:t>Meulan</w:t>
      </w:r>
      <w:proofErr w:type="spellEnd"/>
      <w:r w:rsidR="00D90178" w:rsidRPr="00D90178">
        <w:t>, around thirty</w:t>
      </w:r>
      <w:r w:rsidRPr="00D90178">
        <w:t xml:space="preserve"> kilometres from the château. The other agent in the commissioning of the relic was Nicolas </w:t>
      </w:r>
      <w:proofErr w:type="spellStart"/>
      <w:r w:rsidRPr="00D90178">
        <w:t>Davanne</w:t>
      </w:r>
      <w:proofErr w:type="spellEnd"/>
      <w:r w:rsidRPr="00D90178">
        <w:t xml:space="preserve"> (d. 11 June 1660), superior of the institution. As well as leading a complete reform of religious life at </w:t>
      </w:r>
      <w:proofErr w:type="spellStart"/>
      <w:r w:rsidRPr="00D90178">
        <w:t>Meulan</w:t>
      </w:r>
      <w:proofErr w:type="spellEnd"/>
      <w:r w:rsidRPr="00D90178">
        <w:t xml:space="preserve"> in the early seventeenth century, </w:t>
      </w:r>
      <w:proofErr w:type="spellStart"/>
      <w:r w:rsidRPr="00D90178">
        <w:t>Davanne</w:t>
      </w:r>
      <w:proofErr w:type="spellEnd"/>
      <w:r w:rsidRPr="00D90178">
        <w:t xml:space="preserve"> also wrote prolifically. Some twenty-six years prior to the translation of </w:t>
      </w:r>
      <w:proofErr w:type="spellStart"/>
      <w:r w:rsidRPr="00D90178">
        <w:t>Pientia’s</w:t>
      </w:r>
      <w:proofErr w:type="spellEnd"/>
      <w:r w:rsidRPr="00D90178">
        <w:t xml:space="preserve"> finger, he had published the first edition of his ‘Life’ of </w:t>
      </w:r>
      <w:proofErr w:type="spellStart"/>
      <w:r w:rsidRPr="00D90178">
        <w:t>Nicasius</w:t>
      </w:r>
      <w:proofErr w:type="spellEnd"/>
      <w:r w:rsidRPr="00D90178">
        <w:t xml:space="preserve"> and his companions, with a second edition in 1643.</w:t>
      </w:r>
      <w:r w:rsidRPr="00D90178">
        <w:rPr>
          <w:rStyle w:val="FootnoteReference"/>
          <w:rFonts w:ascii="Times New Roman" w:hAnsi="Times New Roman"/>
          <w:sz w:val="22"/>
        </w:rPr>
        <w:footnoteReference w:id="7"/>
      </w:r>
      <w:r w:rsidRPr="00D90178">
        <w:t xml:space="preserve"> </w:t>
      </w:r>
      <w:proofErr w:type="spellStart"/>
      <w:r w:rsidRPr="00D90178">
        <w:t>Davanne’s</w:t>
      </w:r>
      <w:proofErr w:type="spellEnd"/>
      <w:r w:rsidRPr="00D90178">
        <w:t xml:space="preserve"> </w:t>
      </w:r>
      <w:r w:rsidRPr="00D90178">
        <w:rPr>
          <w:i/>
        </w:rPr>
        <w:t>vita</w:t>
      </w:r>
      <w:r w:rsidR="00D90178" w:rsidRPr="00D90178">
        <w:rPr>
          <w:i/>
        </w:rPr>
        <w:t xml:space="preserve"> </w:t>
      </w:r>
      <w:r w:rsidRPr="00D90178">
        <w:t xml:space="preserve">was alluded to in the visitation documentation of October 1656 as the ‘history’ serving as evidence that </w:t>
      </w:r>
      <w:proofErr w:type="spellStart"/>
      <w:r w:rsidRPr="00D90178">
        <w:t>Pientia</w:t>
      </w:r>
      <w:proofErr w:type="spellEnd"/>
      <w:r w:rsidRPr="00D90178">
        <w:t xml:space="preserve"> was ‘former lady of La Roche-</w:t>
      </w:r>
      <w:proofErr w:type="spellStart"/>
      <w:r w:rsidRPr="00D90178">
        <w:t>Guyon</w:t>
      </w:r>
      <w:proofErr w:type="spellEnd"/>
      <w:r w:rsidRPr="00D90178">
        <w:t xml:space="preserve">’ and companion of </w:t>
      </w:r>
      <w:proofErr w:type="spellStart"/>
      <w:r w:rsidRPr="00D90178">
        <w:t>Nicasius</w:t>
      </w:r>
      <w:proofErr w:type="spellEnd"/>
      <w:r w:rsidRPr="00D90178">
        <w:t>, ‘the first bishop of Rouen’</w:t>
      </w:r>
      <w:r w:rsidR="00D90178" w:rsidRPr="00D90178">
        <w:t>.</w:t>
      </w:r>
      <w:r w:rsidRPr="00D90178">
        <w:t xml:space="preserve"> </w:t>
      </w:r>
      <w:proofErr w:type="spellStart"/>
      <w:r w:rsidRPr="00D90178">
        <w:t>Davanne</w:t>
      </w:r>
      <w:proofErr w:type="spellEnd"/>
      <w:r w:rsidRPr="00D90178">
        <w:t xml:space="preserve"> was also the aut</w:t>
      </w:r>
      <w:r w:rsidR="00D90178" w:rsidRPr="00D90178">
        <w:t>hor of a published collection (</w:t>
      </w:r>
      <w:proofErr w:type="spellStart"/>
      <w:r w:rsidR="00D90178" w:rsidRPr="00D90178">
        <w:rPr>
          <w:i/>
        </w:rPr>
        <w:t>Recueil</w:t>
      </w:r>
      <w:proofErr w:type="spellEnd"/>
      <w:r w:rsidRPr="00D90178">
        <w:t xml:space="preserve">) of ‘acts and contracts’ </w:t>
      </w:r>
      <w:r w:rsidRPr="00D90178">
        <w:lastRenderedPageBreak/>
        <w:t>pe</w:t>
      </w:r>
      <w:r w:rsidR="00D90178" w:rsidRPr="00D90178">
        <w:t>rtaining to the priory of Saint-</w:t>
      </w:r>
      <w:proofErr w:type="spellStart"/>
      <w:r w:rsidR="00D90178" w:rsidRPr="00D90178">
        <w:t>Nicaise</w:t>
      </w:r>
      <w:proofErr w:type="spellEnd"/>
      <w:r w:rsidR="00D90178" w:rsidRPr="00D90178">
        <w:t xml:space="preserve">, in which </w:t>
      </w:r>
      <w:r w:rsidRPr="00D90178">
        <w:t xml:space="preserve">he recorded the movements of the relics of </w:t>
      </w:r>
      <w:proofErr w:type="spellStart"/>
      <w:r w:rsidRPr="00D90178">
        <w:t>Pientia</w:t>
      </w:r>
      <w:proofErr w:type="spellEnd"/>
      <w:r w:rsidRPr="00D90178">
        <w:t xml:space="preserve"> and her male companions </w:t>
      </w:r>
      <w:proofErr w:type="spellStart"/>
      <w:r w:rsidRPr="00D90178">
        <w:t>Nicasius</w:t>
      </w:r>
      <w:proofErr w:type="spellEnd"/>
      <w:r w:rsidRPr="00D90178">
        <w:t xml:space="preserve"> </w:t>
      </w:r>
      <w:proofErr w:type="spellStart"/>
      <w:r w:rsidRPr="00D90178">
        <w:t>Scubiculus</w:t>
      </w:r>
      <w:proofErr w:type="spellEnd"/>
      <w:r w:rsidRPr="00D90178">
        <w:t xml:space="preserve"> and </w:t>
      </w:r>
      <w:proofErr w:type="spellStart"/>
      <w:r w:rsidRPr="00D90178">
        <w:t>Quirinus</w:t>
      </w:r>
      <w:proofErr w:type="spellEnd"/>
      <w:r w:rsidRPr="00D90178">
        <w:t>.</w:t>
      </w:r>
      <w:r w:rsidRPr="00D90178">
        <w:rPr>
          <w:rStyle w:val="FootnoteReference"/>
          <w:rFonts w:ascii="Times New Roman" w:hAnsi="Times New Roman"/>
          <w:sz w:val="22"/>
        </w:rPr>
        <w:footnoteReference w:id="8"/>
      </w:r>
      <w:r w:rsidRPr="00D90178">
        <w:t xml:space="preserve"> </w:t>
      </w:r>
    </w:p>
    <w:p w:rsidR="00A51E6E" w:rsidRPr="00D90178" w:rsidRDefault="00A51E6E" w:rsidP="00A51E6E">
      <w:pPr>
        <w:pStyle w:val="SCHfollowingpara"/>
      </w:pPr>
      <w:r w:rsidRPr="00D90178">
        <w:t>This article explores the connections between the translation of a</w:t>
      </w:r>
      <w:r w:rsidR="002130E3">
        <w:t>n early Christian relic to the Châ</w:t>
      </w:r>
      <w:r w:rsidRPr="00D90178">
        <w:t>te</w:t>
      </w:r>
      <w:r w:rsidR="002130E3">
        <w:t>au de l</w:t>
      </w:r>
      <w:r w:rsidR="00D90178" w:rsidRPr="00D90178">
        <w:t>a Roche-</w:t>
      </w:r>
      <w:proofErr w:type="spellStart"/>
      <w:r w:rsidR="00D90178" w:rsidRPr="00D90178">
        <w:t>Guyon</w:t>
      </w:r>
      <w:proofErr w:type="spellEnd"/>
      <w:r w:rsidR="00D90178" w:rsidRPr="00D90178">
        <w:t xml:space="preserve"> in the mid-seventeenth century</w:t>
      </w:r>
      <w:r w:rsidRPr="00D90178">
        <w:t xml:space="preserve"> and the writing of these sacred histories. The first part reconstructs the broader circumstances surrounding the translation of </w:t>
      </w:r>
      <w:proofErr w:type="spellStart"/>
      <w:r w:rsidRPr="00D90178">
        <w:t>Pientia’s</w:t>
      </w:r>
      <w:proofErr w:type="spellEnd"/>
      <w:r w:rsidRPr="00D90178">
        <w:t xml:space="preserve"> finger by situating it within </w:t>
      </w:r>
      <w:proofErr w:type="spellStart"/>
      <w:r w:rsidRPr="00D90178">
        <w:t>Davanne’s</w:t>
      </w:r>
      <w:proofErr w:type="spellEnd"/>
      <w:r w:rsidRPr="00D90178">
        <w:t xml:space="preserve"> mor</w:t>
      </w:r>
      <w:r w:rsidR="00D90178" w:rsidRPr="00D90178">
        <w:t>e recent history of movement of</w:t>
      </w:r>
      <w:r w:rsidRPr="00D90178">
        <w:t xml:space="preserve"> the early Christian relics. The second part turns its attention towards </w:t>
      </w:r>
      <w:proofErr w:type="spellStart"/>
      <w:r w:rsidRPr="00D90178">
        <w:t>Davanne’s</w:t>
      </w:r>
      <w:proofErr w:type="spellEnd"/>
      <w:r w:rsidRPr="00D90178">
        <w:t xml:space="preserve"> </w:t>
      </w:r>
      <w:r w:rsidRPr="00D90178">
        <w:rPr>
          <w:i/>
        </w:rPr>
        <w:t xml:space="preserve">vitae </w:t>
      </w:r>
      <w:r w:rsidRPr="00D90178">
        <w:t xml:space="preserve">and the longer history of </w:t>
      </w:r>
      <w:proofErr w:type="spellStart"/>
      <w:r w:rsidRPr="00D90178">
        <w:t>Pientia’s</w:t>
      </w:r>
      <w:proofErr w:type="spellEnd"/>
      <w:r w:rsidRPr="00D90178">
        <w:t xml:space="preserve"> bones that he presented, before considering the particular set of circumstances which may have motivated him to write. </w:t>
      </w:r>
      <w:r w:rsidR="00D90178" w:rsidRPr="00D90178">
        <w:t>It</w:t>
      </w:r>
      <w:r w:rsidRPr="00D90178">
        <w:t xml:space="preserve"> finds that the translation of </w:t>
      </w:r>
      <w:proofErr w:type="spellStart"/>
      <w:r w:rsidRPr="00D90178">
        <w:t>Pientia’s</w:t>
      </w:r>
      <w:proofErr w:type="spellEnd"/>
      <w:r w:rsidRPr="00D90178">
        <w:t xml:space="preserve"> finger was the culmination of efforts by a local scholar to revive the sacred history of the </w:t>
      </w:r>
      <w:proofErr w:type="spellStart"/>
      <w:r w:rsidRPr="00D90178">
        <w:t>Vexin</w:t>
      </w:r>
      <w:proofErr w:type="spellEnd"/>
      <w:r w:rsidRPr="00D90178">
        <w:t xml:space="preserve"> and celebrate the regional liturgical traditions associated with its early Christian martyrs. In doing so, it finds support for the recent historiography on local, sacred histories w</w:t>
      </w:r>
      <w:r w:rsidR="00D90178" w:rsidRPr="00D90178">
        <w:t>hich emerged during the Counter-</w:t>
      </w:r>
      <w:r w:rsidRPr="00D90178">
        <w:t xml:space="preserve">Reformation in response to liturgical standardization. </w:t>
      </w:r>
    </w:p>
    <w:p w:rsidR="00A51E6E" w:rsidRPr="00D90178" w:rsidRDefault="00A51E6E" w:rsidP="00A51E6E">
      <w:pPr>
        <w:pStyle w:val="SCHfollowingpara"/>
      </w:pPr>
      <w:r w:rsidRPr="00D90178">
        <w:t xml:space="preserve">In the course of this discussion, this article is also attentive to relics as objects with unstable meanings. Translation, as Robyn </w:t>
      </w:r>
      <w:proofErr w:type="spellStart"/>
      <w:r w:rsidRPr="00D90178">
        <w:t>Malo</w:t>
      </w:r>
      <w:proofErr w:type="spellEnd"/>
      <w:r w:rsidRPr="00D90178">
        <w:t xml:space="preserve"> has recently observed, was not just about the physical relocation of a holy object, but also a ‘rh</w:t>
      </w:r>
      <w:r w:rsidR="00D90178" w:rsidRPr="00D90178">
        <w:t>etorical translation</w:t>
      </w:r>
      <w:r w:rsidRPr="00D90178">
        <w:t>’</w:t>
      </w:r>
      <w:r w:rsidR="00D90178" w:rsidRPr="00D90178">
        <w:t>,</w:t>
      </w:r>
      <w:r w:rsidRPr="00D90178">
        <w:t xml:space="preserve"> as texts and their ‘relic discourse’ helped generate new significance for relics.</w:t>
      </w:r>
      <w:r w:rsidRPr="00D90178">
        <w:rPr>
          <w:rStyle w:val="FootnoteReference"/>
          <w:rFonts w:ascii="Times New Roman" w:hAnsi="Times New Roman"/>
          <w:sz w:val="22"/>
        </w:rPr>
        <w:footnoteReference w:id="9"/>
      </w:r>
      <w:r w:rsidRPr="00D90178">
        <w:t xml:space="preserve"> Similarly, </w:t>
      </w:r>
      <w:proofErr w:type="spellStart"/>
      <w:r w:rsidRPr="00D90178">
        <w:t>Katarzyna</w:t>
      </w:r>
      <w:proofErr w:type="spellEnd"/>
      <w:r w:rsidRPr="00D90178">
        <w:t xml:space="preserve"> </w:t>
      </w:r>
      <w:proofErr w:type="spellStart"/>
      <w:r w:rsidRPr="00D90178">
        <w:t>Rutkowski’s</w:t>
      </w:r>
      <w:proofErr w:type="spellEnd"/>
      <w:r w:rsidRPr="00D90178">
        <w:t xml:space="preserve"> notion of the ‘textual reliquary’ has helpfully illuminated how narratives help to endow relics with power.</w:t>
      </w:r>
      <w:r w:rsidRPr="00D90178">
        <w:rPr>
          <w:rStyle w:val="FootnoteReference"/>
          <w:rFonts w:ascii="Times New Roman" w:hAnsi="Times New Roman"/>
          <w:sz w:val="22"/>
        </w:rPr>
        <w:footnoteReference w:id="10"/>
      </w:r>
      <w:r w:rsidRPr="00D90178">
        <w:t xml:space="preserve"> </w:t>
      </w:r>
      <w:proofErr w:type="spellStart"/>
      <w:r w:rsidRPr="00D90178">
        <w:t>Pientia’s</w:t>
      </w:r>
      <w:proofErr w:type="spellEnd"/>
      <w:r w:rsidRPr="00D90178">
        <w:t xml:space="preserve"> relics, it is argued here, were reinvested with meaning via different </w:t>
      </w:r>
      <w:r w:rsidRPr="00D90178">
        <w:lastRenderedPageBreak/>
        <w:t xml:space="preserve">modes of commemoration. In </w:t>
      </w:r>
      <w:proofErr w:type="spellStart"/>
      <w:r w:rsidRPr="00D90178">
        <w:t>Davanne’s</w:t>
      </w:r>
      <w:proofErr w:type="spellEnd"/>
      <w:r w:rsidRPr="00D90178">
        <w:t xml:space="preserve"> sacred histories, </w:t>
      </w:r>
      <w:proofErr w:type="spellStart"/>
      <w:r w:rsidRPr="00D90178">
        <w:t>Pientia</w:t>
      </w:r>
      <w:proofErr w:type="spellEnd"/>
      <w:r w:rsidRPr="00D90178">
        <w:t xml:space="preserve"> became an integral part of an articulation and defence of a local spiritual heritage in response to Trent. By her subsequent relocation to the rigorist château at La Roche-</w:t>
      </w:r>
      <w:proofErr w:type="spellStart"/>
      <w:r w:rsidRPr="00D90178">
        <w:t>Guyon</w:t>
      </w:r>
      <w:proofErr w:type="spellEnd"/>
      <w:r w:rsidRPr="00D90178">
        <w:t>, she was also part of a claim to an early Christian</w:t>
      </w:r>
      <w:r w:rsidR="00D90178" w:rsidRPr="00D90178">
        <w:t xml:space="preserve"> spiritual heritage by</w:t>
      </w:r>
      <w:r w:rsidRPr="00D90178">
        <w:t xml:space="preserve"> the rigorist reaction within the French Church.</w:t>
      </w:r>
      <w:r w:rsidR="009501FC" w:rsidRPr="00D90178">
        <w:t xml:space="preserve"> </w:t>
      </w:r>
    </w:p>
    <w:p w:rsidR="00A51E6E" w:rsidRPr="00D90178" w:rsidRDefault="00A51E6E" w:rsidP="00A51E6E">
      <w:pPr>
        <w:pStyle w:val="SCHfirstpara"/>
      </w:pPr>
    </w:p>
    <w:p w:rsidR="00A51E6E" w:rsidRPr="00D90178" w:rsidRDefault="00A51E6E" w:rsidP="00A51E6E">
      <w:pPr>
        <w:pStyle w:val="SCHfirstpara"/>
        <w:rPr>
          <w:bCs/>
          <w:smallCaps/>
        </w:rPr>
      </w:pPr>
      <w:r w:rsidRPr="00D90178">
        <w:rPr>
          <w:bCs/>
          <w:smallCaps/>
        </w:rPr>
        <w:t>‘Restless’ Relics:</w:t>
      </w:r>
      <w:r w:rsidRPr="00D90178">
        <w:rPr>
          <w:rStyle w:val="FootnoteReference"/>
          <w:rFonts w:ascii="Times New Roman" w:hAnsi="Times New Roman"/>
          <w:bCs/>
          <w:smallCaps/>
          <w:sz w:val="22"/>
        </w:rPr>
        <w:footnoteReference w:id="11"/>
      </w:r>
      <w:r w:rsidRPr="00D90178">
        <w:rPr>
          <w:bCs/>
          <w:smallCaps/>
        </w:rPr>
        <w:t xml:space="preserve"> </w:t>
      </w:r>
      <w:proofErr w:type="spellStart"/>
      <w:r w:rsidRPr="00D90178">
        <w:rPr>
          <w:bCs/>
          <w:smallCaps/>
        </w:rPr>
        <w:t>Pientia</w:t>
      </w:r>
      <w:proofErr w:type="spellEnd"/>
      <w:r w:rsidRPr="00D90178">
        <w:rPr>
          <w:bCs/>
          <w:smallCaps/>
        </w:rPr>
        <w:t xml:space="preserve"> and </w:t>
      </w:r>
      <w:proofErr w:type="spellStart"/>
      <w:r w:rsidRPr="00D90178">
        <w:rPr>
          <w:bCs/>
          <w:smallCaps/>
        </w:rPr>
        <w:t>Nicasius</w:t>
      </w:r>
      <w:proofErr w:type="spellEnd"/>
      <w:r w:rsidRPr="00D90178">
        <w:rPr>
          <w:bCs/>
          <w:smallCaps/>
        </w:rPr>
        <w:t xml:space="preserve"> in the </w:t>
      </w:r>
      <w:proofErr w:type="spellStart"/>
      <w:r w:rsidRPr="00D90178">
        <w:rPr>
          <w:bCs/>
          <w:smallCaps/>
        </w:rPr>
        <w:t>Vexin</w:t>
      </w:r>
      <w:proofErr w:type="spellEnd"/>
    </w:p>
    <w:p w:rsidR="00A51E6E" w:rsidRPr="00D90178" w:rsidRDefault="00A51E6E" w:rsidP="00A51E6E">
      <w:pPr>
        <w:pStyle w:val="SCHfirstpara"/>
        <w:rPr>
          <w:bCs/>
        </w:rPr>
      </w:pPr>
    </w:p>
    <w:p w:rsidR="00A51E6E" w:rsidRPr="00D90178" w:rsidRDefault="00A51E6E" w:rsidP="00A51E6E">
      <w:pPr>
        <w:pStyle w:val="SCHfirstpara"/>
      </w:pPr>
      <w:r w:rsidRPr="00D90178">
        <w:t xml:space="preserve">The chapel, as described within an inventory taken in 1672, housed a substantial corpus of relics among which </w:t>
      </w:r>
      <w:proofErr w:type="spellStart"/>
      <w:r w:rsidRPr="00D90178">
        <w:t>Pientia’s</w:t>
      </w:r>
      <w:proofErr w:type="spellEnd"/>
      <w:r w:rsidRPr="00D90178">
        <w:t xml:space="preserve"> finger was placed in December 1654. According to the inventory, the relics were contained within a silver reliquary and placed upon a small table.</w:t>
      </w:r>
      <w:r w:rsidRPr="00D90178">
        <w:rPr>
          <w:rStyle w:val="FootnoteReference"/>
          <w:rFonts w:ascii="Times New Roman" w:hAnsi="Times New Roman"/>
          <w:sz w:val="22"/>
        </w:rPr>
        <w:footnoteReference w:id="12"/>
      </w:r>
      <w:r w:rsidRPr="00D90178">
        <w:t xml:space="preserve"> In the</w:t>
      </w:r>
      <w:r w:rsidR="00D90178">
        <w:t xml:space="preserve"> château today, the life of S</w:t>
      </w:r>
      <w:r w:rsidRPr="00D90178">
        <w:t xml:space="preserve">t </w:t>
      </w:r>
      <w:proofErr w:type="spellStart"/>
      <w:r w:rsidRPr="00D90178">
        <w:t>Pientia</w:t>
      </w:r>
      <w:proofErr w:type="spellEnd"/>
      <w:r w:rsidRPr="00D90178">
        <w:t xml:space="preserve"> is depicted in reliefs on the walls of the chapel, but its relic collection has disappeared.</w:t>
      </w:r>
      <w:r w:rsidRPr="00D90178">
        <w:rPr>
          <w:rStyle w:val="FootnoteReference"/>
          <w:rFonts w:ascii="Times New Roman" w:hAnsi="Times New Roman"/>
          <w:sz w:val="22"/>
        </w:rPr>
        <w:footnoteReference w:id="13"/>
      </w:r>
    </w:p>
    <w:p w:rsidR="00A51E6E" w:rsidRPr="00D90178" w:rsidRDefault="00A51E6E" w:rsidP="00A51E6E">
      <w:pPr>
        <w:pStyle w:val="SCHfollowingpara"/>
      </w:pPr>
      <w:r w:rsidRPr="00D90178">
        <w:t xml:space="preserve">A document dated 30 December 1654 </w:t>
      </w:r>
      <w:proofErr w:type="gramStart"/>
      <w:r w:rsidRPr="00D90178">
        <w:t>states</w:t>
      </w:r>
      <w:proofErr w:type="gramEnd"/>
      <w:r w:rsidRPr="00D90178">
        <w:t xml:space="preserve"> that </w:t>
      </w:r>
      <w:proofErr w:type="spellStart"/>
      <w:r w:rsidRPr="00D90178">
        <w:t>Pientia’s</w:t>
      </w:r>
      <w:proofErr w:type="spellEnd"/>
      <w:r w:rsidRPr="00D90178">
        <w:t xml:space="preserve"> finger was translated to La Roche-</w:t>
      </w:r>
      <w:proofErr w:type="spellStart"/>
      <w:r w:rsidRPr="00D90178">
        <w:t>Guyon</w:t>
      </w:r>
      <w:proofErr w:type="spellEnd"/>
      <w:r w:rsidRPr="00D90178">
        <w:t xml:space="preserve"> from the monastery at </w:t>
      </w:r>
      <w:proofErr w:type="spellStart"/>
      <w:r w:rsidRPr="00D90178">
        <w:t>Meulan</w:t>
      </w:r>
      <w:proofErr w:type="spellEnd"/>
      <w:r w:rsidRPr="00D90178">
        <w:t>.</w:t>
      </w:r>
      <w:r w:rsidRPr="00D90178">
        <w:rPr>
          <w:rStyle w:val="FootnoteReference"/>
          <w:rFonts w:ascii="Times New Roman" w:hAnsi="Times New Roman"/>
          <w:sz w:val="22"/>
          <w:lang w:val="fr-FR"/>
        </w:rPr>
        <w:footnoteReference w:id="14"/>
      </w:r>
      <w:r w:rsidRPr="00D90178">
        <w:t xml:space="preserve"> The translation document was annotated with a sketch of the phalanx bone relic which the ‘translators’ claimed to have ‘drawn’ to document the relic. It is confirmed in the document that the finger came from a larger collection of bones of the virgin martyr which remained at the monastery. It is unclear exactly how the </w:t>
      </w:r>
      <w:proofErr w:type="spellStart"/>
      <w:r w:rsidRPr="00D90178">
        <w:t>Liancourts</w:t>
      </w:r>
      <w:proofErr w:type="spellEnd"/>
      <w:r w:rsidRPr="00D90178">
        <w:t xml:space="preserve"> were able to obtain this fragment from </w:t>
      </w:r>
      <w:proofErr w:type="spellStart"/>
      <w:r w:rsidRPr="00D90178">
        <w:t>Meulan</w:t>
      </w:r>
      <w:proofErr w:type="spellEnd"/>
      <w:r w:rsidRPr="00D90178">
        <w:t>. The record describes the relic as ‘granted’</w:t>
      </w:r>
      <w:r w:rsidR="00D944D7">
        <w:t xml:space="preserve"> (</w:t>
      </w:r>
      <w:proofErr w:type="spellStart"/>
      <w:r w:rsidR="00D944D7" w:rsidRPr="00D944D7">
        <w:rPr>
          <w:i/>
        </w:rPr>
        <w:t>octroye</w:t>
      </w:r>
      <w:proofErr w:type="spellEnd"/>
      <w:r w:rsidR="00D944D7">
        <w:t>) by the monastery, taken (</w:t>
      </w:r>
      <w:proofErr w:type="spellStart"/>
      <w:r w:rsidR="00D944D7" w:rsidRPr="00D944D7">
        <w:rPr>
          <w:i/>
        </w:rPr>
        <w:t>tiré</w:t>
      </w:r>
      <w:proofErr w:type="spellEnd"/>
      <w:r w:rsidR="00D944D7">
        <w:t>) from a reliquary (</w:t>
      </w:r>
      <w:r w:rsidR="00D944D7" w:rsidRPr="00D944D7">
        <w:rPr>
          <w:i/>
        </w:rPr>
        <w:t>chasse</w:t>
      </w:r>
      <w:r w:rsidRPr="00D90178">
        <w:t xml:space="preserve">) and placed </w:t>
      </w:r>
      <w:r w:rsidRPr="00D90178">
        <w:lastRenderedPageBreak/>
        <w:t xml:space="preserve">in the seigneurial chapel. The </w:t>
      </w:r>
      <w:r w:rsidR="00D944D7">
        <w:t>document emphasizes</w:t>
      </w:r>
      <w:r w:rsidRPr="00D90178">
        <w:t xml:space="preserve"> </w:t>
      </w:r>
      <w:proofErr w:type="spellStart"/>
      <w:r w:rsidRPr="00D90178">
        <w:t>Pientia</w:t>
      </w:r>
      <w:r w:rsidR="00D944D7">
        <w:t>’s</w:t>
      </w:r>
      <w:proofErr w:type="spellEnd"/>
      <w:r w:rsidR="00D944D7">
        <w:t xml:space="preserve"> status</w:t>
      </w:r>
      <w:r w:rsidRPr="00D90178">
        <w:t xml:space="preserve"> a</w:t>
      </w:r>
      <w:r w:rsidR="00D944D7">
        <w:t>s ‘former Lady of this place’ (</w:t>
      </w:r>
      <w:proofErr w:type="spellStart"/>
      <w:r w:rsidR="00D944D7" w:rsidRPr="00D944D7">
        <w:rPr>
          <w:i/>
        </w:rPr>
        <w:t>jadis</w:t>
      </w:r>
      <w:proofErr w:type="spellEnd"/>
      <w:r w:rsidR="00D944D7" w:rsidRPr="00D944D7">
        <w:rPr>
          <w:i/>
        </w:rPr>
        <w:t xml:space="preserve"> Dame </w:t>
      </w:r>
      <w:proofErr w:type="spellStart"/>
      <w:proofErr w:type="gramStart"/>
      <w:r w:rsidR="00D944D7" w:rsidRPr="00D944D7">
        <w:rPr>
          <w:i/>
        </w:rPr>
        <w:t>dudit</w:t>
      </w:r>
      <w:proofErr w:type="spellEnd"/>
      <w:proofErr w:type="gramEnd"/>
      <w:r w:rsidR="00D944D7" w:rsidRPr="00D944D7">
        <w:rPr>
          <w:i/>
        </w:rPr>
        <w:t xml:space="preserve"> lieu</w:t>
      </w:r>
      <w:r w:rsidRPr="00D90178">
        <w:t xml:space="preserve">) and suggests that the translation was imagined as restoring </w:t>
      </w:r>
      <w:proofErr w:type="spellStart"/>
      <w:r w:rsidRPr="00D90178">
        <w:t>Pientia</w:t>
      </w:r>
      <w:proofErr w:type="spellEnd"/>
      <w:r w:rsidRPr="00D90178">
        <w:t xml:space="preserve"> to her own lands and </w:t>
      </w:r>
      <w:r w:rsidR="00D944D7">
        <w:t xml:space="preserve">the </w:t>
      </w:r>
      <w:r w:rsidRPr="00D90178">
        <w:t xml:space="preserve">site of her eventual martyrdom. If at least some of the initiative for the translation lay with </w:t>
      </w:r>
      <w:proofErr w:type="spellStart"/>
      <w:r w:rsidRPr="00D90178">
        <w:t>Davanne</w:t>
      </w:r>
      <w:proofErr w:type="spellEnd"/>
      <w:r w:rsidRPr="00D90178">
        <w:t xml:space="preserve">, it may also have been regarded as a practical </w:t>
      </w:r>
      <w:r w:rsidR="00D944D7">
        <w:t xml:space="preserve">move for the newly </w:t>
      </w:r>
      <w:r w:rsidRPr="00D90178">
        <w:t>reformed monastery to reach out to potential wealthy, local patrons with such a gift. The illegibility of a portion of the document obscures some of the details, but it does also seem clear that the</w:t>
      </w:r>
      <w:r w:rsidR="00496DDC">
        <w:t xml:space="preserve"> </w:t>
      </w:r>
      <w:proofErr w:type="spellStart"/>
      <w:r w:rsidR="00496DDC">
        <w:t>duc</w:t>
      </w:r>
      <w:proofErr w:type="spellEnd"/>
      <w:r w:rsidR="00496DDC">
        <w:t xml:space="preserve"> and duchesse de Liancourt </w:t>
      </w:r>
      <w:r w:rsidRPr="00D90178">
        <w:t>had actively sought out the relic with the intention of enhancing devotions and honouring God at this holy site. The seigneurial chapel was</w:t>
      </w:r>
      <w:r w:rsidR="009501FC" w:rsidRPr="00D90178">
        <w:t xml:space="preserve"> </w:t>
      </w:r>
      <w:r w:rsidRPr="00D90178">
        <w:t>already a significant space for the veneration of saintly relics – includin</w:t>
      </w:r>
      <w:r w:rsidR="00D944D7">
        <w:t>g those of Elizabeth of Hungary;</w:t>
      </w:r>
      <w:r w:rsidRPr="00D90178">
        <w:t xml:space="preserve"> the apostles Thomas and Matthias; the martyrs Lawrence, Barbara and Catherine of Alexandria; and Marie Salomé. According to this document, the translation was a way of renewing and augmenting their devotions to these holy remains. For</w:t>
      </w:r>
      <w:r w:rsidR="00D944D7">
        <w:t xml:space="preserve"> the </w:t>
      </w:r>
      <w:proofErr w:type="spellStart"/>
      <w:r w:rsidR="00D944D7">
        <w:t>Liancourts</w:t>
      </w:r>
      <w:proofErr w:type="spellEnd"/>
      <w:r w:rsidR="00D944D7">
        <w:t>, the procurement</w:t>
      </w:r>
      <w:r w:rsidRPr="00D90178">
        <w:t xml:space="preserve"> of the relic was also related in more complex ways to their own evolving spiritual identities as rigorists.</w:t>
      </w:r>
      <w:r w:rsidR="009501FC" w:rsidRPr="00D90178">
        <w:t xml:space="preserve"> </w:t>
      </w:r>
    </w:p>
    <w:p w:rsidR="00A51E6E" w:rsidRPr="00D90178" w:rsidRDefault="00A51E6E" w:rsidP="00A51E6E">
      <w:pPr>
        <w:pStyle w:val="SCHfollowingpara"/>
      </w:pPr>
      <w:r w:rsidRPr="00D90178">
        <w:t>Historically, relic translations had been subject to much regulation after initially being prohibited a</w:t>
      </w:r>
      <w:r w:rsidR="00D944D7">
        <w:t>nd condemned as ‘tomb violation</w:t>
      </w:r>
      <w:r w:rsidRPr="00D90178">
        <w:t>’</w:t>
      </w:r>
      <w:r w:rsidR="00D944D7">
        <w:t>.</w:t>
      </w:r>
      <w:r w:rsidRPr="00D90178">
        <w:rPr>
          <w:rStyle w:val="FootnoteReference"/>
          <w:rFonts w:ascii="Times New Roman" w:hAnsi="Times New Roman"/>
          <w:sz w:val="22"/>
        </w:rPr>
        <w:footnoteReference w:id="15"/>
      </w:r>
      <w:r w:rsidRPr="00D90178">
        <w:t xml:space="preserve"> Newly translated relics had to prove themselves, as Patrick Geary noted in his influential essay on sacred commodities.</w:t>
      </w:r>
      <w:r w:rsidRPr="00D90178">
        <w:rPr>
          <w:rStyle w:val="FootnoteReference"/>
          <w:rFonts w:ascii="Times New Roman" w:hAnsi="Times New Roman"/>
          <w:sz w:val="22"/>
        </w:rPr>
        <w:footnoteReference w:id="16"/>
      </w:r>
      <w:r w:rsidRPr="00D90178">
        <w:t xml:space="preserve"> At La Roche-</w:t>
      </w:r>
      <w:proofErr w:type="spellStart"/>
      <w:r w:rsidRPr="00D90178">
        <w:t>Guyon</w:t>
      </w:r>
      <w:proofErr w:type="spellEnd"/>
      <w:r w:rsidRPr="00D90178">
        <w:t xml:space="preserve">, issues of veracity may have been the motivation for the episcopal visitation of the chapel in 1656. The finger of </w:t>
      </w:r>
      <w:proofErr w:type="spellStart"/>
      <w:r w:rsidRPr="00D90178">
        <w:t>Pientia</w:t>
      </w:r>
      <w:proofErr w:type="spellEnd"/>
      <w:r w:rsidRPr="00D90178">
        <w:t xml:space="preserve"> had originally belonged to another colle</w:t>
      </w:r>
      <w:r w:rsidR="00D944D7">
        <w:t xml:space="preserve">ction of truly </w:t>
      </w:r>
      <w:r w:rsidR="00D944D7">
        <w:lastRenderedPageBreak/>
        <w:t>‘restless relics</w:t>
      </w:r>
      <w:r w:rsidRPr="00D90178">
        <w:t>’</w:t>
      </w:r>
      <w:r w:rsidR="00D944D7">
        <w:t>.</w:t>
      </w:r>
      <w:r w:rsidRPr="00D90178">
        <w:rPr>
          <w:rStyle w:val="FootnoteReference"/>
          <w:rFonts w:ascii="Times New Roman" w:hAnsi="Times New Roman"/>
          <w:sz w:val="22"/>
        </w:rPr>
        <w:t xml:space="preserve"> </w:t>
      </w:r>
      <w:r w:rsidRPr="00D90178">
        <w:rPr>
          <w:rStyle w:val="FootnoteReference"/>
          <w:rFonts w:ascii="Times New Roman" w:hAnsi="Times New Roman"/>
          <w:sz w:val="22"/>
        </w:rPr>
        <w:footnoteReference w:id="17"/>
      </w:r>
      <w:r w:rsidR="009501FC" w:rsidRPr="00D90178">
        <w:t xml:space="preserve"> </w:t>
      </w:r>
      <w:r w:rsidRPr="00D90178">
        <w:t xml:space="preserve">The body parts of the four martyrs had been fragmented and the spoils had been circulating around local religious institutions for some time before they wound up at </w:t>
      </w:r>
      <w:proofErr w:type="spellStart"/>
      <w:r w:rsidRPr="00D90178">
        <w:t>Davanne’s</w:t>
      </w:r>
      <w:proofErr w:type="spellEnd"/>
      <w:r w:rsidRPr="00D90178">
        <w:t xml:space="preserve"> priory in </w:t>
      </w:r>
      <w:proofErr w:type="spellStart"/>
      <w:r w:rsidRPr="00D90178">
        <w:t>Meulan</w:t>
      </w:r>
      <w:proofErr w:type="spellEnd"/>
      <w:r w:rsidRPr="00D90178">
        <w:t>.</w:t>
      </w:r>
      <w:r w:rsidR="009501FC" w:rsidRPr="00D90178">
        <w:t xml:space="preserve"> </w:t>
      </w:r>
      <w:r w:rsidRPr="00D90178">
        <w:t xml:space="preserve">It was during the eleventh century that a cult surrounding the relics of </w:t>
      </w:r>
      <w:proofErr w:type="spellStart"/>
      <w:r w:rsidRPr="00D90178">
        <w:t>Nicasius</w:t>
      </w:r>
      <w:proofErr w:type="spellEnd"/>
      <w:r w:rsidRPr="00D90178">
        <w:t xml:space="preserve"> and his companions developed in the </w:t>
      </w:r>
      <w:proofErr w:type="spellStart"/>
      <w:r w:rsidRPr="00D90178">
        <w:t>Vexin</w:t>
      </w:r>
      <w:proofErr w:type="spellEnd"/>
      <w:r w:rsidRPr="00D90178">
        <w:t xml:space="preserve"> after their translation to the monastery of Saint-</w:t>
      </w:r>
      <w:proofErr w:type="spellStart"/>
      <w:r w:rsidRPr="00D90178">
        <w:t>Ouen</w:t>
      </w:r>
      <w:proofErr w:type="spellEnd"/>
      <w:r w:rsidRPr="00D90178">
        <w:t xml:space="preserve"> at Rouen in 1032.</w:t>
      </w:r>
      <w:r w:rsidRPr="00D90178">
        <w:rPr>
          <w:rStyle w:val="FootnoteReference"/>
          <w:rFonts w:ascii="Times New Roman" w:hAnsi="Times New Roman"/>
          <w:sz w:val="22"/>
        </w:rPr>
        <w:footnoteReference w:id="18"/>
      </w:r>
      <w:r w:rsidRPr="00D90178">
        <w:t xml:space="preserve"> This provided occasion for the composition of the </w:t>
      </w:r>
      <w:proofErr w:type="spellStart"/>
      <w:r w:rsidRPr="00D90178">
        <w:rPr>
          <w:i/>
        </w:rPr>
        <w:t>Passio</w:t>
      </w:r>
      <w:proofErr w:type="spellEnd"/>
      <w:r w:rsidRPr="00D90178">
        <w:rPr>
          <w:i/>
        </w:rPr>
        <w:t xml:space="preserve"> </w:t>
      </w:r>
      <w:proofErr w:type="spellStart"/>
      <w:r w:rsidRPr="00D90178">
        <w:rPr>
          <w:i/>
        </w:rPr>
        <w:t>Nicasii</w:t>
      </w:r>
      <w:proofErr w:type="spellEnd"/>
      <w:r w:rsidR="00E50CCD">
        <w:t xml:space="preserve">, </w:t>
      </w:r>
      <w:r w:rsidRPr="00D90178">
        <w:t xml:space="preserve">the first ‘life’ of </w:t>
      </w:r>
      <w:proofErr w:type="spellStart"/>
      <w:r w:rsidRPr="00D90178">
        <w:t>Nicasius</w:t>
      </w:r>
      <w:proofErr w:type="spellEnd"/>
      <w:r w:rsidRPr="00D90178">
        <w:t xml:space="preserve"> and the other martyrs.</w:t>
      </w:r>
      <w:r w:rsidRPr="00D90178">
        <w:rPr>
          <w:rStyle w:val="FootnoteReference"/>
          <w:rFonts w:ascii="Times New Roman" w:hAnsi="Times New Roman"/>
          <w:sz w:val="22"/>
        </w:rPr>
        <w:footnoteReference w:id="19"/>
      </w:r>
      <w:r w:rsidR="009501FC" w:rsidRPr="00D90178">
        <w:t xml:space="preserve"> </w:t>
      </w:r>
    </w:p>
    <w:p w:rsidR="00A51E6E" w:rsidRPr="00D90178" w:rsidRDefault="00A51E6E" w:rsidP="00A51E6E">
      <w:pPr>
        <w:pStyle w:val="SCHfollowingpara"/>
      </w:pPr>
      <w:r w:rsidRPr="00D90178">
        <w:t xml:space="preserve">During </w:t>
      </w:r>
      <w:proofErr w:type="spellStart"/>
      <w:r w:rsidRPr="00D90178">
        <w:t>Davanne’s</w:t>
      </w:r>
      <w:proofErr w:type="spellEnd"/>
      <w:r w:rsidRPr="00D90178">
        <w:t xml:space="preserve"> tenure at the priory at </w:t>
      </w:r>
      <w:proofErr w:type="spellStart"/>
      <w:r w:rsidRPr="00D90178">
        <w:t>Meulan</w:t>
      </w:r>
      <w:proofErr w:type="spellEnd"/>
      <w:r w:rsidRPr="00D90178">
        <w:t>, the relics continued in their restlessness, as recorded in his account describing their continuing move</w:t>
      </w:r>
      <w:r w:rsidR="00E50CCD">
        <w:t>ments</w:t>
      </w:r>
      <w:r w:rsidRPr="00D90178">
        <w:t>. The transl</w:t>
      </w:r>
      <w:r w:rsidR="00E50CCD">
        <w:t xml:space="preserve">ations that he recorded in the </w:t>
      </w:r>
      <w:proofErr w:type="spellStart"/>
      <w:r w:rsidR="00E50CCD" w:rsidRPr="00E50CCD">
        <w:rPr>
          <w:i/>
        </w:rPr>
        <w:t>Recueil</w:t>
      </w:r>
      <w:proofErr w:type="spellEnd"/>
      <w:r w:rsidRPr="00D90178">
        <w:t xml:space="preserve">, along with their accompanying rituals, can be used to shed light on his aims as author. The first translation </w:t>
      </w:r>
      <w:proofErr w:type="spellStart"/>
      <w:r w:rsidRPr="00D90178">
        <w:t>Davanne</w:t>
      </w:r>
      <w:proofErr w:type="spellEnd"/>
      <w:r w:rsidRPr="00D90178">
        <w:t xml:space="preserve"> described was the movement of the relics of </w:t>
      </w:r>
      <w:proofErr w:type="spellStart"/>
      <w:r w:rsidRPr="00D90178">
        <w:t>Pientia</w:t>
      </w:r>
      <w:proofErr w:type="spellEnd"/>
      <w:r w:rsidRPr="00D90178">
        <w:t xml:space="preserve">, </w:t>
      </w:r>
      <w:proofErr w:type="spellStart"/>
      <w:r w:rsidRPr="00D90178">
        <w:t>Scubiculus</w:t>
      </w:r>
      <w:proofErr w:type="spellEnd"/>
      <w:r w:rsidRPr="00D90178">
        <w:t xml:space="preserve"> and </w:t>
      </w:r>
      <w:proofErr w:type="spellStart"/>
      <w:r w:rsidRPr="00D90178">
        <w:t>Quirinus</w:t>
      </w:r>
      <w:proofErr w:type="spellEnd"/>
      <w:r w:rsidRPr="00D90178">
        <w:t xml:space="preserve"> to new reliquaries on 1 June 1639, the feast of the Ascension, when the relics of the martyrs were central to the local celebration of the feast.</w:t>
      </w:r>
      <w:r w:rsidRPr="00D90178">
        <w:rPr>
          <w:rStyle w:val="FootnoteReference"/>
          <w:rFonts w:ascii="Times New Roman" w:hAnsi="Times New Roman"/>
          <w:sz w:val="22"/>
        </w:rPr>
        <w:footnoteReference w:id="20"/>
      </w:r>
      <w:r w:rsidRPr="00D90178">
        <w:t xml:space="preserve"> </w:t>
      </w:r>
      <w:proofErr w:type="spellStart"/>
      <w:r w:rsidRPr="00D90178">
        <w:t>Davanne</w:t>
      </w:r>
      <w:proofErr w:type="spellEnd"/>
      <w:r w:rsidRPr="00D90178">
        <w:t xml:space="preserve"> explained how the relics were venerated both on the vigil and </w:t>
      </w:r>
      <w:r w:rsidR="00E50CCD">
        <w:t xml:space="preserve">the </w:t>
      </w:r>
      <w:r w:rsidRPr="00D90178">
        <w:t xml:space="preserve">day of their feast, as well as on the vigil and </w:t>
      </w:r>
      <w:r w:rsidR="009F15C6">
        <w:t xml:space="preserve">the </w:t>
      </w:r>
      <w:r w:rsidRPr="00D90178">
        <w:t>feast day of the Ascension. Four reliquaries containing the relics of the four martyrs respectively were displayed</w:t>
      </w:r>
      <w:r w:rsidR="009F15C6">
        <w:t>,</w:t>
      </w:r>
      <w:r w:rsidRPr="00D90178">
        <w:t xml:space="preserve"> according to this </w:t>
      </w:r>
      <w:r w:rsidRPr="00D90178">
        <w:lastRenderedPageBreak/>
        <w:t xml:space="preserve">account, </w:t>
      </w:r>
      <w:r w:rsidR="009F15C6">
        <w:t xml:space="preserve">and </w:t>
      </w:r>
      <w:proofErr w:type="spellStart"/>
      <w:r w:rsidR="009F15C6">
        <w:t>Davanne</w:t>
      </w:r>
      <w:proofErr w:type="spellEnd"/>
      <w:r w:rsidR="009F15C6">
        <w:t xml:space="preserve"> </w:t>
      </w:r>
      <w:r w:rsidRPr="00D90178">
        <w:t>stressed how people assembled to kiss and touch th</w:t>
      </w:r>
      <w:r w:rsidR="009F15C6">
        <w:t>em with their rosaries,</w:t>
      </w:r>
      <w:r w:rsidRPr="00D90178">
        <w:t xml:space="preserve"> a common ritual practice surrounding relics. William Christian found similar practices in </w:t>
      </w:r>
      <w:proofErr w:type="spellStart"/>
      <w:r w:rsidRPr="00D90178">
        <w:t>Fuencaliente</w:t>
      </w:r>
      <w:proofErr w:type="spellEnd"/>
      <w:r w:rsidR="009F15C6">
        <w:t>,</w:t>
      </w:r>
      <w:r w:rsidRPr="00D90178">
        <w:t xml:space="preserve"> Spain, for instance, when on feast days the head of one of the </w:t>
      </w:r>
      <w:r w:rsidR="00EB43AD">
        <w:t xml:space="preserve">legendary </w:t>
      </w:r>
      <w:r w:rsidRPr="00D90178">
        <w:t xml:space="preserve">Eleven Thousand Virgins </w:t>
      </w:r>
      <w:r w:rsidR="00EB43AD">
        <w:t xml:space="preserve"> of Cologne </w:t>
      </w:r>
      <w:r w:rsidRPr="00D90178">
        <w:t>was exposed to local people who were permitted to touch it ‘with their heads, eyes, mouths, bowls, an</w:t>
      </w:r>
      <w:r w:rsidR="009F15C6">
        <w:t>d other objects out of devotion</w:t>
      </w:r>
      <w:r w:rsidRPr="00D90178">
        <w:t>’</w:t>
      </w:r>
      <w:r w:rsidR="009F15C6">
        <w:t>.</w:t>
      </w:r>
      <w:r w:rsidRPr="00D90178">
        <w:rPr>
          <w:rStyle w:val="FootnoteReference"/>
          <w:rFonts w:ascii="Times New Roman" w:hAnsi="Times New Roman"/>
          <w:sz w:val="22"/>
        </w:rPr>
        <w:footnoteReference w:id="21"/>
      </w:r>
      <w:r w:rsidRPr="00D90178">
        <w:t xml:space="preserve"> The second translation </w:t>
      </w:r>
      <w:proofErr w:type="spellStart"/>
      <w:r w:rsidRPr="00D90178">
        <w:t>Davanne</w:t>
      </w:r>
      <w:proofErr w:type="spellEnd"/>
      <w:r w:rsidRPr="00D90178">
        <w:t xml:space="preserve"> related was the relocation of </w:t>
      </w:r>
      <w:proofErr w:type="spellStart"/>
      <w:r w:rsidRPr="00D90178">
        <w:t>Nicasius’</w:t>
      </w:r>
      <w:r w:rsidR="009F15C6">
        <w:t>s</w:t>
      </w:r>
      <w:proofErr w:type="spellEnd"/>
      <w:r w:rsidR="009F15C6">
        <w:t xml:space="preserve"> relics </w:t>
      </w:r>
      <w:r w:rsidR="009F15C6" w:rsidRPr="009F15C6">
        <w:t>on 13 May 1643</w:t>
      </w:r>
      <w:r w:rsidR="009F15C6">
        <w:t>,</w:t>
      </w:r>
      <w:r w:rsidR="009F15C6" w:rsidRPr="009F15C6">
        <w:t xml:space="preserve"> </w:t>
      </w:r>
      <w:r w:rsidRPr="00D90178">
        <w:t>the vigil of the Feast of the Ascension</w:t>
      </w:r>
      <w:r w:rsidR="009F15C6">
        <w:t>,</w:t>
      </w:r>
      <w:r w:rsidRPr="00D90178">
        <w:t xml:space="preserve"> to a new reliquary</w:t>
      </w:r>
      <w:r w:rsidR="009F15C6">
        <w:t>,</w:t>
      </w:r>
      <w:r w:rsidRPr="00D90178">
        <w:t xml:space="preserve"> at the cost of 2</w:t>
      </w:r>
      <w:r w:rsidR="009F15C6">
        <w:t>,</w:t>
      </w:r>
      <w:r w:rsidRPr="00D90178">
        <w:t>400 livres.</w:t>
      </w:r>
      <w:r w:rsidRPr="00D90178">
        <w:rPr>
          <w:rStyle w:val="FootnoteReference"/>
          <w:rFonts w:ascii="Times New Roman" w:hAnsi="Times New Roman"/>
          <w:sz w:val="22"/>
        </w:rPr>
        <w:footnoteReference w:id="22"/>
      </w:r>
      <w:r w:rsidRPr="00D90178">
        <w:t xml:space="preserve"> This particular translation was, he noted, marke</w:t>
      </w:r>
      <w:r w:rsidR="009F15C6">
        <w:t>d by a sermon delivered by the b</w:t>
      </w:r>
      <w:r w:rsidRPr="00D90178">
        <w:t xml:space="preserve">ishop of Chartres, and the singing of the </w:t>
      </w:r>
      <w:proofErr w:type="spellStart"/>
      <w:r w:rsidRPr="00D90178">
        <w:rPr>
          <w:i/>
        </w:rPr>
        <w:t>Te</w:t>
      </w:r>
      <w:proofErr w:type="spellEnd"/>
      <w:r w:rsidRPr="00D90178">
        <w:rPr>
          <w:i/>
        </w:rPr>
        <w:t xml:space="preserve"> Deum</w:t>
      </w:r>
      <w:r w:rsidRPr="00D90178">
        <w:t xml:space="preserve"> and </w:t>
      </w:r>
      <w:proofErr w:type="spellStart"/>
      <w:r w:rsidRPr="00D90178">
        <w:rPr>
          <w:i/>
        </w:rPr>
        <w:t>Veni</w:t>
      </w:r>
      <w:proofErr w:type="spellEnd"/>
      <w:r w:rsidRPr="00D90178">
        <w:rPr>
          <w:i/>
        </w:rPr>
        <w:t xml:space="preserve"> Creator </w:t>
      </w:r>
      <w:proofErr w:type="spellStart"/>
      <w:r w:rsidRPr="00D90178">
        <w:rPr>
          <w:i/>
        </w:rPr>
        <w:t>Spiritus</w:t>
      </w:r>
      <w:proofErr w:type="spellEnd"/>
      <w:r w:rsidRPr="00D90178">
        <w:t xml:space="preserve"> by the clergy </w:t>
      </w:r>
      <w:r w:rsidR="009F15C6">
        <w:t xml:space="preserve">and local people. (The latter is </w:t>
      </w:r>
      <w:r w:rsidRPr="00D90178">
        <w:t>more typical</w:t>
      </w:r>
      <w:r w:rsidR="009F15C6">
        <w:t>ly</w:t>
      </w:r>
      <w:r w:rsidRPr="00D90178">
        <w:t xml:space="preserve"> use</w:t>
      </w:r>
      <w:r w:rsidR="009F15C6">
        <w:t>d</w:t>
      </w:r>
      <w:r w:rsidRPr="00D90178">
        <w:t xml:space="preserve"> in consecrations, ordinations and coronations.</w:t>
      </w:r>
      <w:r w:rsidR="009F15C6">
        <w:t>)</w:t>
      </w:r>
      <w:r w:rsidRPr="00D90178">
        <w:t xml:space="preserve"> According t</w:t>
      </w:r>
      <w:r w:rsidR="009F15C6">
        <w:t xml:space="preserve">o </w:t>
      </w:r>
      <w:proofErr w:type="spellStart"/>
      <w:r w:rsidR="009F15C6">
        <w:t>Davanne</w:t>
      </w:r>
      <w:proofErr w:type="spellEnd"/>
      <w:r w:rsidR="009F15C6">
        <w:t>, this heavily ritualiz</w:t>
      </w:r>
      <w:r w:rsidRPr="00D90178">
        <w:t>ed translation culminated in the removal of the bones piece by piece, witnessed by the whole congregation, before being placed in the new reliquary.</w:t>
      </w:r>
      <w:r w:rsidRPr="00D90178">
        <w:rPr>
          <w:rStyle w:val="FootnoteReference"/>
          <w:rFonts w:ascii="Times New Roman" w:hAnsi="Times New Roman"/>
          <w:sz w:val="22"/>
        </w:rPr>
        <w:footnoteReference w:id="23"/>
      </w:r>
      <w:r w:rsidRPr="00D90178">
        <w:t xml:space="preserve"> </w:t>
      </w:r>
    </w:p>
    <w:p w:rsidR="00A51E6E" w:rsidRPr="00D90178" w:rsidRDefault="00A51E6E" w:rsidP="00A51E6E">
      <w:pPr>
        <w:pStyle w:val="SCHfollowingpara"/>
      </w:pPr>
      <w:r w:rsidRPr="00D90178">
        <w:t xml:space="preserve">In the preface, </w:t>
      </w:r>
      <w:proofErr w:type="spellStart"/>
      <w:r w:rsidRPr="00D90178">
        <w:t>Davanne</w:t>
      </w:r>
      <w:proofErr w:type="spellEnd"/>
      <w:r w:rsidRPr="00D90178">
        <w:t xml:space="preserve"> stated that his mo</w:t>
      </w:r>
      <w:r w:rsidR="009F15C6">
        <w:t>tivation</w:t>
      </w:r>
      <w:r w:rsidRPr="00D90178">
        <w:t xml:space="preserve"> for recording these and other i</w:t>
      </w:r>
      <w:r w:rsidR="009F15C6">
        <w:t xml:space="preserve">nstances of translation was </w:t>
      </w:r>
      <w:r w:rsidRPr="00D90178">
        <w:t xml:space="preserve">the edification of the Benedictines at </w:t>
      </w:r>
      <w:proofErr w:type="spellStart"/>
      <w:r w:rsidRPr="00D90178">
        <w:t>Meulan</w:t>
      </w:r>
      <w:proofErr w:type="spellEnd"/>
      <w:r w:rsidRPr="00D90178">
        <w:t xml:space="preserve"> and the female reli</w:t>
      </w:r>
      <w:r w:rsidR="009F15C6">
        <w:t xml:space="preserve">gious at the monastery of Notre </w:t>
      </w:r>
      <w:r w:rsidRPr="00D90178">
        <w:t xml:space="preserve">Dame de </w:t>
      </w:r>
      <w:proofErr w:type="spellStart"/>
      <w:r w:rsidRPr="00D90178">
        <w:t>Bonnes</w:t>
      </w:r>
      <w:proofErr w:type="spellEnd"/>
      <w:r w:rsidRPr="00D90178">
        <w:t xml:space="preserve"> </w:t>
      </w:r>
      <w:proofErr w:type="spellStart"/>
      <w:r w:rsidRPr="00D90178">
        <w:t>Nouvelles</w:t>
      </w:r>
      <w:proofErr w:type="spellEnd"/>
      <w:r w:rsidRPr="00D90178">
        <w:t xml:space="preserve"> in Rouen</w:t>
      </w:r>
      <w:r w:rsidR="009F15C6">
        <w:t>,</w:t>
      </w:r>
      <w:r w:rsidRPr="00D90178">
        <w:t xml:space="preserve"> where he was also a superior – as well as for posterity.</w:t>
      </w:r>
      <w:r w:rsidRPr="00D90178">
        <w:rPr>
          <w:rStyle w:val="FootnoteReference"/>
          <w:rFonts w:ascii="Times New Roman" w:hAnsi="Times New Roman"/>
          <w:sz w:val="22"/>
        </w:rPr>
        <w:footnoteReference w:id="24"/>
      </w:r>
      <w:r w:rsidRPr="00D90178">
        <w:t xml:space="preserve"> Interestingly, </w:t>
      </w:r>
      <w:proofErr w:type="spellStart"/>
      <w:r w:rsidRPr="00D90178">
        <w:t>Davanne</w:t>
      </w:r>
      <w:proofErr w:type="spellEnd"/>
      <w:r w:rsidRPr="00D90178">
        <w:t xml:space="preserve"> did not record the ceremony accompanying the conferring of </w:t>
      </w:r>
      <w:proofErr w:type="spellStart"/>
      <w:r w:rsidRPr="00D90178">
        <w:t>Pience’s</w:t>
      </w:r>
      <w:proofErr w:type="spellEnd"/>
      <w:r w:rsidRPr="00D90178">
        <w:t xml:space="preserve"> finger on the chapel at La Roche-</w:t>
      </w:r>
      <w:proofErr w:type="spellStart"/>
      <w:r w:rsidRPr="00D90178">
        <w:t>Guyon</w:t>
      </w:r>
      <w:proofErr w:type="spellEnd"/>
      <w:r w:rsidRPr="00D90178">
        <w:t xml:space="preserve"> – perhaps a reflection of the more private nature</w:t>
      </w:r>
      <w:r w:rsidR="009F15C6">
        <w:t xml:space="preserve"> of this particular translation.</w:t>
      </w:r>
      <w:r w:rsidR="009501FC" w:rsidRPr="00D90178">
        <w:t xml:space="preserve"> </w:t>
      </w:r>
      <w:r w:rsidRPr="00D90178">
        <w:t xml:space="preserve">It seems significant that </w:t>
      </w:r>
      <w:proofErr w:type="spellStart"/>
      <w:r w:rsidRPr="00D90178">
        <w:t>Davanne</w:t>
      </w:r>
      <w:proofErr w:type="spellEnd"/>
      <w:r w:rsidRPr="00D90178">
        <w:t xml:space="preserve"> devoted more attention to carefully recording the public, liturgical ceremonies that accompanied</w:t>
      </w:r>
      <w:r w:rsidR="009F15C6">
        <w:t xml:space="preserve"> other movements of the relics,</w:t>
      </w:r>
      <w:r w:rsidRPr="00D90178">
        <w:t xml:space="preserve"> indicating that he was probably also writing to strengthen an existing cult. This is also reflected in his commentary on the devotional traditions surrounding the relics. For instance, </w:t>
      </w:r>
      <w:proofErr w:type="spellStart"/>
      <w:r w:rsidRPr="00D90178">
        <w:t>Davanne</w:t>
      </w:r>
      <w:proofErr w:type="spellEnd"/>
      <w:r w:rsidRPr="00D90178">
        <w:t xml:space="preserve"> described how beneath the main altar </w:t>
      </w:r>
      <w:r w:rsidRPr="00D90178">
        <w:lastRenderedPageBreak/>
        <w:t>in the church at Saint-</w:t>
      </w:r>
      <w:proofErr w:type="spellStart"/>
      <w:r w:rsidRPr="00D90178">
        <w:t>Nicaise</w:t>
      </w:r>
      <w:proofErr w:type="spellEnd"/>
      <w:r w:rsidRPr="00D90178">
        <w:t xml:space="preserve">, </w:t>
      </w:r>
      <w:proofErr w:type="spellStart"/>
      <w:r w:rsidRPr="00D90178">
        <w:t>Meulan</w:t>
      </w:r>
      <w:proofErr w:type="spellEnd"/>
      <w:r w:rsidRPr="00D90178">
        <w:t>, there was an armoire in which were kept a number of reliquaries. Among them w</w:t>
      </w:r>
      <w:r w:rsidR="009F15C6">
        <w:t>as an ivory horn (</w:t>
      </w:r>
      <w:proofErr w:type="spellStart"/>
      <w:r w:rsidR="009F15C6" w:rsidRPr="009F15C6">
        <w:rPr>
          <w:i/>
        </w:rPr>
        <w:t>cor</w:t>
      </w:r>
      <w:proofErr w:type="spellEnd"/>
      <w:r w:rsidR="009F15C6" w:rsidRPr="009F15C6">
        <w:rPr>
          <w:i/>
        </w:rPr>
        <w:t xml:space="preserve"> </w:t>
      </w:r>
      <w:proofErr w:type="spellStart"/>
      <w:r w:rsidR="009F15C6" w:rsidRPr="009F15C6">
        <w:rPr>
          <w:i/>
        </w:rPr>
        <w:t>d’yvoire</w:t>
      </w:r>
      <w:proofErr w:type="spellEnd"/>
      <w:r w:rsidRPr="00D90178">
        <w:t>) which had been formerly used both as a reliquary and to call people to mass. It was known a</w:t>
      </w:r>
      <w:r w:rsidR="009F15C6">
        <w:t xml:space="preserve">s the ‘horn of Saint </w:t>
      </w:r>
      <w:proofErr w:type="spellStart"/>
      <w:r w:rsidR="009F15C6">
        <w:t>Nicaise</w:t>
      </w:r>
      <w:proofErr w:type="spellEnd"/>
      <w:r w:rsidR="009F15C6">
        <w:t>’ (</w:t>
      </w:r>
      <w:r w:rsidR="009F15C6" w:rsidRPr="009F15C6">
        <w:rPr>
          <w:i/>
        </w:rPr>
        <w:t>cornet Saint-</w:t>
      </w:r>
      <w:proofErr w:type="spellStart"/>
      <w:r w:rsidR="009F15C6" w:rsidRPr="009F15C6">
        <w:rPr>
          <w:i/>
        </w:rPr>
        <w:t>Nicaise</w:t>
      </w:r>
      <w:proofErr w:type="spellEnd"/>
      <w:r w:rsidRPr="00D90178">
        <w:t xml:space="preserve">). When applied to the ears, </w:t>
      </w:r>
      <w:proofErr w:type="spellStart"/>
      <w:r w:rsidRPr="00D90178">
        <w:t>Davanne</w:t>
      </w:r>
      <w:proofErr w:type="spellEnd"/>
      <w:r w:rsidRPr="00D90178">
        <w:t xml:space="preserve"> observed, it could heal deafness.</w:t>
      </w:r>
      <w:r w:rsidRPr="00D90178">
        <w:rPr>
          <w:rStyle w:val="FootnoteReference"/>
          <w:rFonts w:ascii="Times New Roman" w:hAnsi="Times New Roman"/>
          <w:sz w:val="22"/>
        </w:rPr>
        <w:footnoteReference w:id="25"/>
      </w:r>
      <w:r w:rsidRPr="00D90178">
        <w:t xml:space="preserve"> This object also appears in </w:t>
      </w:r>
      <w:proofErr w:type="spellStart"/>
      <w:r w:rsidRPr="00D90178">
        <w:t>Davanne’s</w:t>
      </w:r>
      <w:proofErr w:type="spellEnd"/>
      <w:r w:rsidRPr="00D90178">
        <w:t xml:space="preserve"> account of the translation ceremonies, where he again refers to its curative powers.</w:t>
      </w:r>
      <w:r w:rsidRPr="00D90178">
        <w:rPr>
          <w:rStyle w:val="FootnoteReference"/>
          <w:rFonts w:ascii="Times New Roman" w:hAnsi="Times New Roman"/>
          <w:sz w:val="22"/>
        </w:rPr>
        <w:footnoteReference w:id="26"/>
      </w:r>
      <w:r w:rsidR="009501FC" w:rsidRPr="00D90178">
        <w:t xml:space="preserve"> </w:t>
      </w:r>
    </w:p>
    <w:p w:rsidR="00A51E6E" w:rsidRPr="00D90178" w:rsidRDefault="00A51E6E" w:rsidP="00A51E6E">
      <w:pPr>
        <w:pStyle w:val="SCHfollowingpara"/>
      </w:pPr>
      <w:r w:rsidRPr="00D90178">
        <w:t xml:space="preserve">The translation of </w:t>
      </w:r>
      <w:proofErr w:type="spellStart"/>
      <w:r w:rsidRPr="00D90178">
        <w:t>Nicasius</w:t>
      </w:r>
      <w:r w:rsidR="00EF277A">
        <w:t>’s</w:t>
      </w:r>
      <w:proofErr w:type="spellEnd"/>
      <w:r w:rsidRPr="00D90178">
        <w:t xml:space="preserve"> bones into the costly new reliquary coincided with the publication of the second edition of </w:t>
      </w:r>
      <w:proofErr w:type="spellStart"/>
      <w:r w:rsidRPr="00D90178">
        <w:t>Davanne’s</w:t>
      </w:r>
      <w:proofErr w:type="spellEnd"/>
      <w:r w:rsidRPr="00D90178">
        <w:t xml:space="preserve"> </w:t>
      </w:r>
      <w:r w:rsidRPr="00D90178">
        <w:rPr>
          <w:i/>
        </w:rPr>
        <w:t>vita</w:t>
      </w:r>
      <w:r w:rsidR="00EF277A">
        <w:t>,</w:t>
      </w:r>
      <w:r w:rsidRPr="00D90178">
        <w:t xml:space="preserve"> in which he had already made a strong case for the liturgical traditions surrounding the early Christian history of La Roche-</w:t>
      </w:r>
      <w:proofErr w:type="spellStart"/>
      <w:r w:rsidRPr="00D90178">
        <w:t>Guyon</w:t>
      </w:r>
      <w:proofErr w:type="spellEnd"/>
      <w:r w:rsidRPr="00D90178">
        <w:t xml:space="preserve">. An explanation of how the translation of </w:t>
      </w:r>
      <w:proofErr w:type="spellStart"/>
      <w:r w:rsidRPr="00D90178">
        <w:t>Pientia’s</w:t>
      </w:r>
      <w:proofErr w:type="spellEnd"/>
      <w:r w:rsidRPr="00D90178">
        <w:t xml:space="preserve"> finger fitted into these claims about the spiritual heritage of the </w:t>
      </w:r>
      <w:proofErr w:type="spellStart"/>
      <w:r w:rsidRPr="00D90178">
        <w:t>Vexin</w:t>
      </w:r>
      <w:proofErr w:type="spellEnd"/>
      <w:r w:rsidRPr="00D90178">
        <w:t xml:space="preserve"> is provided in </w:t>
      </w:r>
      <w:proofErr w:type="spellStart"/>
      <w:r w:rsidRPr="00D90178">
        <w:t>Davanne’s</w:t>
      </w:r>
      <w:proofErr w:type="spellEnd"/>
      <w:r w:rsidRPr="00D90178">
        <w:t xml:space="preserve"> text. </w:t>
      </w:r>
    </w:p>
    <w:p w:rsidR="00A51E6E" w:rsidRPr="00D90178" w:rsidRDefault="00A51E6E" w:rsidP="00A51E6E">
      <w:pPr>
        <w:pStyle w:val="SCHfirstpara"/>
      </w:pPr>
    </w:p>
    <w:p w:rsidR="00A51E6E" w:rsidRPr="00EF277A" w:rsidRDefault="00A51E6E" w:rsidP="00A51E6E">
      <w:pPr>
        <w:pStyle w:val="SCHfirstpara"/>
        <w:rPr>
          <w:bCs/>
          <w:smallCaps/>
        </w:rPr>
      </w:pPr>
      <w:r w:rsidRPr="00EF277A">
        <w:rPr>
          <w:bCs/>
          <w:smallCaps/>
        </w:rPr>
        <w:t xml:space="preserve">The Spiritual Heritage of a Sacred Landscape </w:t>
      </w:r>
    </w:p>
    <w:p w:rsidR="00A51E6E" w:rsidRPr="00D90178" w:rsidRDefault="00A51E6E" w:rsidP="00A51E6E">
      <w:pPr>
        <w:pStyle w:val="SCHfirstpara"/>
        <w:rPr>
          <w:bCs/>
        </w:rPr>
      </w:pPr>
    </w:p>
    <w:p w:rsidR="00A51E6E" w:rsidRPr="00D90178" w:rsidRDefault="00A51E6E" w:rsidP="00A51E6E">
      <w:pPr>
        <w:pStyle w:val="SCHfirstpara"/>
      </w:pPr>
      <w:proofErr w:type="spellStart"/>
      <w:r w:rsidRPr="00D90178">
        <w:t>Davanne’s</w:t>
      </w:r>
      <w:proofErr w:type="spellEnd"/>
      <w:r w:rsidRPr="00D90178">
        <w:t xml:space="preserve"> life of the early Christian martyrs of the </w:t>
      </w:r>
      <w:proofErr w:type="spellStart"/>
      <w:r w:rsidRPr="00D90178">
        <w:t>Vexin</w:t>
      </w:r>
      <w:proofErr w:type="spellEnd"/>
      <w:r w:rsidRPr="00D90178">
        <w:t xml:space="preserve"> was not the first such account. The earliest reference to </w:t>
      </w:r>
      <w:proofErr w:type="spellStart"/>
      <w:r w:rsidRPr="00D90178">
        <w:t>Nicasius</w:t>
      </w:r>
      <w:proofErr w:type="spellEnd"/>
      <w:r w:rsidRPr="00D90178">
        <w:t xml:space="preserve"> was in </w:t>
      </w:r>
      <w:proofErr w:type="spellStart"/>
      <w:r w:rsidRPr="00D90178">
        <w:t>Usuard’s</w:t>
      </w:r>
      <w:proofErr w:type="spellEnd"/>
      <w:r w:rsidRPr="00D90178">
        <w:t xml:space="preserve"> </w:t>
      </w:r>
      <w:proofErr w:type="spellStart"/>
      <w:r w:rsidRPr="00D90178">
        <w:t>martyrology</w:t>
      </w:r>
      <w:proofErr w:type="spellEnd"/>
      <w:r w:rsidRPr="00D90178">
        <w:t xml:space="preserve"> o</w:t>
      </w:r>
      <w:r w:rsidR="00EF277A">
        <w:t>f 865, which simply recorded his</w:t>
      </w:r>
      <w:r w:rsidRPr="00D90178">
        <w:t xml:space="preserve"> name, status and date of martyrdom.</w:t>
      </w:r>
      <w:r w:rsidRPr="00D90178">
        <w:rPr>
          <w:rStyle w:val="FootnoteReference"/>
          <w:rFonts w:ascii="Times New Roman" w:hAnsi="Times New Roman"/>
          <w:sz w:val="22"/>
        </w:rPr>
        <w:footnoteReference w:id="27"/>
      </w:r>
      <w:r w:rsidRPr="00D90178">
        <w:t xml:space="preserve"> Herrick’s study of the eleventh-century </w:t>
      </w:r>
      <w:proofErr w:type="spellStart"/>
      <w:r w:rsidRPr="00D90178">
        <w:rPr>
          <w:i/>
        </w:rPr>
        <w:t>Passio</w:t>
      </w:r>
      <w:proofErr w:type="spellEnd"/>
      <w:r w:rsidRPr="00D90178">
        <w:rPr>
          <w:i/>
        </w:rPr>
        <w:t xml:space="preserve"> </w:t>
      </w:r>
      <w:r w:rsidRPr="00D90178">
        <w:t xml:space="preserve">has highlighted the discrepancies between </w:t>
      </w:r>
      <w:proofErr w:type="spellStart"/>
      <w:r w:rsidRPr="00D90178">
        <w:t>Usuard’s</w:t>
      </w:r>
      <w:proofErr w:type="spellEnd"/>
      <w:r w:rsidRPr="00D90178">
        <w:t xml:space="preserve"> account of </w:t>
      </w:r>
      <w:proofErr w:type="spellStart"/>
      <w:r w:rsidRPr="00D90178">
        <w:t>Nicasius</w:t>
      </w:r>
      <w:proofErr w:type="spellEnd"/>
      <w:r w:rsidRPr="00D90178">
        <w:t xml:space="preserve"> as a simple priest and later hagiographies (including </w:t>
      </w:r>
      <w:proofErr w:type="spellStart"/>
      <w:r w:rsidRPr="00D90178">
        <w:t>Davanne’s</w:t>
      </w:r>
      <w:proofErr w:type="spellEnd"/>
      <w:r w:rsidRPr="00D90178">
        <w:t>) which referred to him as a bishop.</w:t>
      </w:r>
      <w:r w:rsidRPr="00D90178">
        <w:rPr>
          <w:rStyle w:val="FootnoteReference"/>
          <w:rFonts w:ascii="Times New Roman" w:hAnsi="Times New Roman"/>
          <w:sz w:val="22"/>
        </w:rPr>
        <w:footnoteReference w:id="28"/>
      </w:r>
      <w:r w:rsidRPr="00D90178">
        <w:t xml:space="preserve"> It seems that </w:t>
      </w:r>
      <w:r w:rsidRPr="00D90178">
        <w:lastRenderedPageBreak/>
        <w:t>the abbey at Saint-</w:t>
      </w:r>
      <w:proofErr w:type="spellStart"/>
      <w:r w:rsidRPr="00D90178">
        <w:t>Ouen</w:t>
      </w:r>
      <w:proofErr w:type="spellEnd"/>
      <w:r w:rsidRPr="00D90178">
        <w:t xml:space="preserve"> had sought to elevate the cult of </w:t>
      </w:r>
      <w:proofErr w:type="spellStart"/>
      <w:r w:rsidRPr="00D90178">
        <w:t>Nicasius</w:t>
      </w:r>
      <w:proofErr w:type="spellEnd"/>
      <w:r w:rsidRPr="00D90178">
        <w:t xml:space="preserve"> as the first archbishop of </w:t>
      </w:r>
      <w:r w:rsidR="00EF277A">
        <w:t>Rouen in the same way that the c</w:t>
      </w:r>
      <w:r w:rsidRPr="00D90178">
        <w:t>athedral of Rouen had done for the seventh-century bishop of Rouen</w:t>
      </w:r>
      <w:r w:rsidR="00EF277A">
        <w:t>,</w:t>
      </w:r>
      <w:r w:rsidRPr="00D90178">
        <w:t xml:space="preserve"> </w:t>
      </w:r>
      <w:r w:rsidR="00EF277A">
        <w:t>S</w:t>
      </w:r>
      <w:r w:rsidRPr="00D90178">
        <w:t>t Romanus (d.</w:t>
      </w:r>
      <w:r w:rsidR="00E902FC">
        <w:t xml:space="preserve"> </w:t>
      </w:r>
      <w:r w:rsidRPr="00D90178">
        <w:t>640).</w:t>
      </w:r>
      <w:r w:rsidRPr="00D90178">
        <w:rPr>
          <w:rStyle w:val="FootnoteReference"/>
          <w:rFonts w:ascii="Times New Roman" w:hAnsi="Times New Roman"/>
          <w:sz w:val="22"/>
        </w:rPr>
        <w:footnoteReference w:id="29"/>
      </w:r>
      <w:r w:rsidR="00EF277A">
        <w:t xml:space="preserve"> The identity of </w:t>
      </w:r>
      <w:proofErr w:type="spellStart"/>
      <w:r w:rsidR="00EF277A">
        <w:t>Pientia</w:t>
      </w:r>
      <w:proofErr w:type="spellEnd"/>
      <w:r w:rsidRPr="00D90178">
        <w:t xml:space="preserve"> was similarly fluid in these early hagiographies, as she oscillated between virgin and matron.</w:t>
      </w:r>
      <w:r w:rsidRPr="00D90178">
        <w:rPr>
          <w:rStyle w:val="FootnoteReference"/>
          <w:rFonts w:ascii="Times New Roman" w:hAnsi="Times New Roman"/>
          <w:sz w:val="22"/>
        </w:rPr>
        <w:footnoteReference w:id="30"/>
      </w:r>
      <w:r w:rsidRPr="00D90178">
        <w:t xml:space="preserve"> </w:t>
      </w:r>
    </w:p>
    <w:p w:rsidR="00A51E6E" w:rsidRPr="00D90178" w:rsidRDefault="00A51E6E" w:rsidP="00A51E6E">
      <w:pPr>
        <w:pStyle w:val="SCHfollowingpara"/>
      </w:pPr>
      <w:r w:rsidRPr="00D90178">
        <w:t xml:space="preserve">The origins of </w:t>
      </w:r>
      <w:proofErr w:type="spellStart"/>
      <w:r w:rsidRPr="00D90178">
        <w:t>Nicasius’</w:t>
      </w:r>
      <w:r w:rsidR="00EF277A">
        <w:t>s</w:t>
      </w:r>
      <w:proofErr w:type="spellEnd"/>
      <w:r w:rsidRPr="00D90178">
        <w:t xml:space="preserve"> presence in the </w:t>
      </w:r>
      <w:proofErr w:type="spellStart"/>
      <w:r w:rsidRPr="00D90178">
        <w:t>Vexin</w:t>
      </w:r>
      <w:proofErr w:type="spellEnd"/>
      <w:r w:rsidRPr="00D90178">
        <w:t xml:space="preserve"> given in the first part of </w:t>
      </w:r>
      <w:proofErr w:type="spellStart"/>
      <w:r w:rsidRPr="00D90178">
        <w:t>Davanne’s</w:t>
      </w:r>
      <w:proofErr w:type="spellEnd"/>
      <w:r w:rsidRPr="00D90178">
        <w:t xml:space="preserve"> </w:t>
      </w:r>
      <w:r w:rsidR="00EF277A">
        <w:rPr>
          <w:i/>
        </w:rPr>
        <w:t>vita</w:t>
      </w:r>
      <w:r w:rsidRPr="00D90178">
        <w:rPr>
          <w:i/>
        </w:rPr>
        <w:t xml:space="preserve"> </w:t>
      </w:r>
      <w:r w:rsidRPr="00D90178">
        <w:t>also correspond rou</w:t>
      </w:r>
      <w:r w:rsidR="00EF277A">
        <w:t>ghly to the version populariz</w:t>
      </w:r>
      <w:r w:rsidRPr="00D90178">
        <w:t xml:space="preserve">ed by the eleventh-century </w:t>
      </w:r>
      <w:proofErr w:type="spellStart"/>
      <w:r w:rsidRPr="00D90178">
        <w:rPr>
          <w:i/>
        </w:rPr>
        <w:t>Passio</w:t>
      </w:r>
      <w:proofErr w:type="spellEnd"/>
      <w:r w:rsidRPr="00D90178">
        <w:t xml:space="preserve">. </w:t>
      </w:r>
      <w:proofErr w:type="spellStart"/>
      <w:r w:rsidRPr="00D90178">
        <w:t>Nicaisius</w:t>
      </w:r>
      <w:proofErr w:type="spellEnd"/>
      <w:r w:rsidRPr="00D90178">
        <w:t xml:space="preserve"> was commissioned to undertake a mission to Gaul and ordained a bishop before leaving Rome. On reaching Paris, </w:t>
      </w:r>
      <w:proofErr w:type="spellStart"/>
      <w:r w:rsidRPr="00D90178">
        <w:t>Nicasius</w:t>
      </w:r>
      <w:proofErr w:type="spellEnd"/>
      <w:r w:rsidR="00EF277A">
        <w:t>,</w:t>
      </w:r>
      <w:r w:rsidRPr="00D90178">
        <w:t xml:space="preserve"> accompanied by a priest </w:t>
      </w:r>
      <w:proofErr w:type="spellStart"/>
      <w:r w:rsidRPr="00D90178">
        <w:t>Quirinus</w:t>
      </w:r>
      <w:proofErr w:type="spellEnd"/>
      <w:r w:rsidRPr="00D90178">
        <w:t xml:space="preserve"> and a deacon </w:t>
      </w:r>
      <w:proofErr w:type="spellStart"/>
      <w:r w:rsidRPr="00D90178">
        <w:t>Scubiculus</w:t>
      </w:r>
      <w:proofErr w:type="spellEnd"/>
      <w:r w:rsidRPr="00D90178">
        <w:t>, headed towards the river and chose Rouen as his bishopric.</w:t>
      </w:r>
      <w:r w:rsidRPr="00D90178">
        <w:rPr>
          <w:rStyle w:val="FootnoteReference"/>
          <w:rFonts w:ascii="Times New Roman" w:hAnsi="Times New Roman"/>
          <w:sz w:val="22"/>
        </w:rPr>
        <w:footnoteReference w:id="31"/>
      </w:r>
      <w:r w:rsidRPr="00D90178">
        <w:t xml:space="preserve"> </w:t>
      </w:r>
      <w:proofErr w:type="spellStart"/>
      <w:r w:rsidRPr="00D90178">
        <w:t>Davanne</w:t>
      </w:r>
      <w:proofErr w:type="spellEnd"/>
      <w:r w:rsidRPr="00D90178">
        <w:t xml:space="preserve"> pinpointed their arrival at La Roche-</w:t>
      </w:r>
      <w:proofErr w:type="spellStart"/>
      <w:r w:rsidRPr="00D90178">
        <w:t>Guyon</w:t>
      </w:r>
      <w:proofErr w:type="spellEnd"/>
      <w:r w:rsidRPr="00D90178">
        <w:t xml:space="preserve"> and identified the conversion of </w:t>
      </w:r>
      <w:r w:rsidR="00EF277A">
        <w:t xml:space="preserve">a local noblewoman named </w:t>
      </w:r>
      <w:proofErr w:type="spellStart"/>
      <w:r w:rsidR="00EF277A">
        <w:t>Pience</w:t>
      </w:r>
      <w:proofErr w:type="spellEnd"/>
      <w:r w:rsidRPr="00D90178">
        <w:t xml:space="preserve"> as instrumental to their mission since it gave </w:t>
      </w:r>
      <w:proofErr w:type="spellStart"/>
      <w:r w:rsidRPr="00D90178">
        <w:t>N</w:t>
      </w:r>
      <w:r w:rsidR="00E902FC">
        <w:t>icasius</w:t>
      </w:r>
      <w:proofErr w:type="spellEnd"/>
      <w:r w:rsidR="00E902FC">
        <w:t xml:space="preserve"> the freedom to preach (</w:t>
      </w:r>
      <w:proofErr w:type="spellStart"/>
      <w:r w:rsidRPr="00E902FC">
        <w:rPr>
          <w:i/>
        </w:rPr>
        <w:t>plaine</w:t>
      </w:r>
      <w:proofErr w:type="spellEnd"/>
      <w:r w:rsidRPr="00E902FC">
        <w:rPr>
          <w:i/>
        </w:rPr>
        <w:t xml:space="preserve"> </w:t>
      </w:r>
      <w:proofErr w:type="spellStart"/>
      <w:r w:rsidRPr="00E902FC">
        <w:rPr>
          <w:i/>
        </w:rPr>
        <w:t>liberté</w:t>
      </w:r>
      <w:proofErr w:type="spellEnd"/>
      <w:r w:rsidRPr="00E902FC">
        <w:rPr>
          <w:i/>
        </w:rPr>
        <w:t xml:space="preserve"> de </w:t>
      </w:r>
      <w:proofErr w:type="spellStart"/>
      <w:r w:rsidRPr="00E902FC">
        <w:rPr>
          <w:i/>
        </w:rPr>
        <w:t>prescher</w:t>
      </w:r>
      <w:proofErr w:type="spellEnd"/>
      <w:r w:rsidRPr="00D90178">
        <w:t xml:space="preserve">) and </w:t>
      </w:r>
      <w:r w:rsidR="00E902FC">
        <w:t>to sow the words of the faith (</w:t>
      </w:r>
      <w:proofErr w:type="spellStart"/>
      <w:r w:rsidRPr="00E902FC">
        <w:rPr>
          <w:i/>
        </w:rPr>
        <w:t>d’y</w:t>
      </w:r>
      <w:proofErr w:type="spellEnd"/>
      <w:r w:rsidRPr="00E902FC">
        <w:rPr>
          <w:i/>
        </w:rPr>
        <w:t xml:space="preserve"> </w:t>
      </w:r>
      <w:proofErr w:type="spellStart"/>
      <w:r w:rsidRPr="00E902FC">
        <w:rPr>
          <w:i/>
        </w:rPr>
        <w:t>semer</w:t>
      </w:r>
      <w:proofErr w:type="spellEnd"/>
      <w:r w:rsidRPr="00E902FC">
        <w:rPr>
          <w:i/>
        </w:rPr>
        <w:t xml:space="preserve"> les paroles de la Foy</w:t>
      </w:r>
      <w:r w:rsidRPr="00D90178">
        <w:t xml:space="preserve">). </w:t>
      </w:r>
      <w:proofErr w:type="spellStart"/>
      <w:r w:rsidRPr="00D90178">
        <w:t>Pientia</w:t>
      </w:r>
      <w:proofErr w:type="spellEnd"/>
      <w:r w:rsidRPr="00D90178">
        <w:t xml:space="preserve"> is also credited with having established oratories where converted Christians assembled to pray and celebrate the divine mysteries.</w:t>
      </w:r>
      <w:r w:rsidRPr="00D90178">
        <w:rPr>
          <w:rStyle w:val="FootnoteReference"/>
          <w:rFonts w:ascii="Times New Roman" w:hAnsi="Times New Roman"/>
          <w:sz w:val="22"/>
        </w:rPr>
        <w:footnoteReference w:id="32"/>
      </w:r>
    </w:p>
    <w:p w:rsidR="00A51E6E" w:rsidRPr="00D90178" w:rsidRDefault="00A51E6E" w:rsidP="00A51E6E">
      <w:pPr>
        <w:pStyle w:val="SCHfollowingpara"/>
      </w:pPr>
      <w:r w:rsidRPr="00D90178">
        <w:t xml:space="preserve">The martyrdom of </w:t>
      </w:r>
      <w:proofErr w:type="spellStart"/>
      <w:r w:rsidRPr="00D90178">
        <w:t>Pientia</w:t>
      </w:r>
      <w:proofErr w:type="spellEnd"/>
      <w:r w:rsidRPr="00D90178">
        <w:t xml:space="preserve"> and her converters was, of course, c</w:t>
      </w:r>
      <w:r w:rsidR="00E902FC">
        <w:t xml:space="preserve">entral to </w:t>
      </w:r>
      <w:proofErr w:type="spellStart"/>
      <w:r w:rsidR="00E902FC">
        <w:t>Davanne’s</w:t>
      </w:r>
      <w:proofErr w:type="spellEnd"/>
      <w:r w:rsidR="00E902FC">
        <w:t xml:space="preserve"> text. </w:t>
      </w:r>
      <w:proofErr w:type="gramStart"/>
      <w:r w:rsidR="00E902FC">
        <w:t>While</w:t>
      </w:r>
      <w:r w:rsidRPr="00D90178">
        <w:t xml:space="preserve"> on their knees praying to God after preaching to a congregation just outside of La Roche-</w:t>
      </w:r>
      <w:proofErr w:type="spellStart"/>
      <w:r w:rsidRPr="00D90178">
        <w:t>Guyon</w:t>
      </w:r>
      <w:proofErr w:type="spellEnd"/>
      <w:r w:rsidRPr="00D90178">
        <w:t xml:space="preserve">, </w:t>
      </w:r>
      <w:proofErr w:type="spellStart"/>
      <w:r w:rsidRPr="00D90178">
        <w:t>Nicasius</w:t>
      </w:r>
      <w:proofErr w:type="spellEnd"/>
      <w:r w:rsidRPr="00D90178">
        <w:t xml:space="preserve"> and his priestly companions were decapitated by soldiers sent by a governor </w:t>
      </w:r>
      <w:r w:rsidR="00E902FC">
        <w:t xml:space="preserve">named </w:t>
      </w:r>
      <w:proofErr w:type="spellStart"/>
      <w:r w:rsidR="00E902FC">
        <w:t>Sifinius</w:t>
      </w:r>
      <w:proofErr w:type="spellEnd"/>
      <w:r w:rsidR="00E902FC">
        <w:t>, following an e</w:t>
      </w:r>
      <w:r w:rsidRPr="00D90178">
        <w:t xml:space="preserve">dict of the Emperor Domitian against Christians in </w:t>
      </w:r>
      <w:r w:rsidRPr="00D90178">
        <w:lastRenderedPageBreak/>
        <w:t>Gaul.</w:t>
      </w:r>
      <w:proofErr w:type="gramEnd"/>
      <w:r w:rsidRPr="00D90178">
        <w:rPr>
          <w:rStyle w:val="FootnoteReference"/>
          <w:rFonts w:ascii="Times New Roman" w:hAnsi="Times New Roman"/>
          <w:sz w:val="22"/>
        </w:rPr>
        <w:footnoteReference w:id="33"/>
      </w:r>
      <w:r w:rsidRPr="00D90178">
        <w:t xml:space="preserve"> That night, their remains were miraculously transported to safety by angels to a site known to </w:t>
      </w:r>
      <w:proofErr w:type="spellStart"/>
      <w:r w:rsidRPr="00D90178">
        <w:t>Davanne</w:t>
      </w:r>
      <w:proofErr w:type="spellEnd"/>
      <w:r w:rsidRPr="00D90178">
        <w:t xml:space="preserve"> as the Ford of Saint </w:t>
      </w:r>
      <w:proofErr w:type="spellStart"/>
      <w:r w:rsidRPr="00D90178">
        <w:t>Nicaise</w:t>
      </w:r>
      <w:proofErr w:type="spellEnd"/>
      <w:r w:rsidRPr="00D90178">
        <w:t>.</w:t>
      </w:r>
      <w:r w:rsidRPr="00D90178">
        <w:rPr>
          <w:rStyle w:val="FootnoteReference"/>
          <w:rFonts w:ascii="Times New Roman" w:hAnsi="Times New Roman"/>
          <w:sz w:val="22"/>
        </w:rPr>
        <w:footnoteReference w:id="34"/>
      </w:r>
      <w:r w:rsidRPr="00D90178">
        <w:t xml:space="preserve"> It was then that </w:t>
      </w:r>
      <w:proofErr w:type="spellStart"/>
      <w:r w:rsidRPr="00D90178">
        <w:t>Davanne</w:t>
      </w:r>
      <w:proofErr w:type="spellEnd"/>
      <w:r w:rsidRPr="00D90178">
        <w:t xml:space="preserve"> stressed the role of the ‘good’ </w:t>
      </w:r>
      <w:proofErr w:type="spellStart"/>
      <w:r w:rsidRPr="00D90178">
        <w:t>Pientia</w:t>
      </w:r>
      <w:proofErr w:type="spellEnd"/>
      <w:r w:rsidRPr="00D90178">
        <w:t xml:space="preserve">, who decided to ‘bury them in that same place, </w:t>
      </w:r>
      <w:r w:rsidR="00E902FC">
        <w:t>whose heritage belonged to [her</w:t>
      </w:r>
      <w:r w:rsidRPr="00D90178">
        <w:t>]’</w:t>
      </w:r>
      <w:r w:rsidR="00E902FC">
        <w:t>.</w:t>
      </w:r>
      <w:r w:rsidRPr="00D90178">
        <w:t xml:space="preserve"> According to </w:t>
      </w:r>
      <w:proofErr w:type="spellStart"/>
      <w:r w:rsidRPr="00D90178">
        <w:t>Davanne</w:t>
      </w:r>
      <w:proofErr w:type="spellEnd"/>
      <w:r w:rsidRPr="00D90178">
        <w:t>, the ‘holy woman’ then had built an oratory or chapel for their graves which later became renowned as a site of miracles.</w:t>
      </w:r>
      <w:r w:rsidRPr="00D90178">
        <w:rPr>
          <w:rStyle w:val="FootnoteReference"/>
          <w:rFonts w:ascii="Times New Roman" w:hAnsi="Times New Roman"/>
          <w:sz w:val="22"/>
        </w:rPr>
        <w:footnoteReference w:id="35"/>
      </w:r>
      <w:r w:rsidRPr="00D90178">
        <w:t xml:space="preserve"> </w:t>
      </w:r>
      <w:proofErr w:type="spellStart"/>
      <w:r w:rsidRPr="00D90178">
        <w:t>Pientia’s</w:t>
      </w:r>
      <w:proofErr w:type="spellEnd"/>
      <w:r w:rsidRPr="00D90178">
        <w:t xml:space="preserve"> own martyrdom came shortly after</w:t>
      </w:r>
      <w:r w:rsidR="00E902FC">
        <w:t>,</w:t>
      </w:r>
      <w:r w:rsidRPr="00D90178">
        <w:t xml:space="preserve"> when her own father learned of her conversion to Christianity and sent troops to investigate. She declared her faith to them before they decapitated her.</w:t>
      </w:r>
      <w:r w:rsidRPr="00D90178">
        <w:rPr>
          <w:rStyle w:val="FootnoteReference"/>
          <w:rFonts w:ascii="Times New Roman" w:hAnsi="Times New Roman"/>
          <w:sz w:val="22"/>
        </w:rPr>
        <w:footnoteReference w:id="36"/>
      </w:r>
      <w:r w:rsidRPr="00D90178">
        <w:t xml:space="preserve"> </w:t>
      </w:r>
      <w:proofErr w:type="spellStart"/>
      <w:r w:rsidRPr="00D90178">
        <w:t>Davanne</w:t>
      </w:r>
      <w:proofErr w:type="spellEnd"/>
      <w:r w:rsidRPr="00D90178">
        <w:t xml:space="preserve"> explained that the bodies of all four martyrs withstood centuries of persecution against Christians and their tombs.</w:t>
      </w:r>
      <w:r w:rsidRPr="00D90178">
        <w:rPr>
          <w:rStyle w:val="FootnoteReference"/>
          <w:rFonts w:ascii="Times New Roman" w:hAnsi="Times New Roman"/>
          <w:sz w:val="22"/>
        </w:rPr>
        <w:footnoteReference w:id="37"/>
      </w:r>
    </w:p>
    <w:p w:rsidR="00A51E6E" w:rsidRPr="00D90178" w:rsidRDefault="00A51E6E" w:rsidP="00A51E6E">
      <w:pPr>
        <w:pStyle w:val="SCHfollowingpara"/>
      </w:pPr>
      <w:r w:rsidRPr="00D90178">
        <w:t xml:space="preserve">The second part of </w:t>
      </w:r>
      <w:proofErr w:type="spellStart"/>
      <w:r w:rsidRPr="00D90178">
        <w:t>Davanne’s</w:t>
      </w:r>
      <w:proofErr w:type="spellEnd"/>
      <w:r w:rsidRPr="00D90178">
        <w:t xml:space="preserve"> </w:t>
      </w:r>
      <w:r w:rsidR="00E902FC">
        <w:rPr>
          <w:i/>
        </w:rPr>
        <w:t>vita</w:t>
      </w:r>
      <w:r w:rsidRPr="00D90178">
        <w:rPr>
          <w:i/>
        </w:rPr>
        <w:t xml:space="preserve"> </w:t>
      </w:r>
      <w:r w:rsidRPr="00D90178">
        <w:t>then goes on to describe the early translations of their bones and the miracles occurring surrounding these relics. These stories were, he asserts, gleaned from an inventory of ‘ancient manuscripts’.</w:t>
      </w:r>
      <w:r w:rsidRPr="00D90178">
        <w:rPr>
          <w:rStyle w:val="FootnoteReference"/>
          <w:rFonts w:ascii="Times New Roman" w:hAnsi="Times New Roman"/>
          <w:sz w:val="22"/>
        </w:rPr>
        <w:footnoteReference w:id="38"/>
      </w:r>
      <w:r w:rsidRPr="00D90178">
        <w:t xml:space="preserve"> </w:t>
      </w:r>
      <w:proofErr w:type="spellStart"/>
      <w:r w:rsidRPr="00D90178">
        <w:t>Davanne</w:t>
      </w:r>
      <w:proofErr w:type="spellEnd"/>
      <w:r w:rsidRPr="00D90178">
        <w:t xml:space="preserve"> traced the early history of </w:t>
      </w:r>
      <w:proofErr w:type="spellStart"/>
      <w:r w:rsidRPr="00D90178">
        <w:t>Pientia’s</w:t>
      </w:r>
      <w:proofErr w:type="spellEnd"/>
      <w:r w:rsidRPr="00D90178">
        <w:t xml:space="preserve"> remains to the bishop of </w:t>
      </w:r>
      <w:proofErr w:type="spellStart"/>
      <w:r w:rsidRPr="00D90178">
        <w:t>Lisieux</w:t>
      </w:r>
      <w:proofErr w:type="spellEnd"/>
      <w:r w:rsidRPr="00D90178">
        <w:t xml:space="preserve">. He, too, </w:t>
      </w:r>
      <w:r w:rsidR="00C543E0" w:rsidRPr="00C543E0">
        <w:t xml:space="preserve">was </w:t>
      </w:r>
      <w:r w:rsidRPr="00D90178">
        <w:t>a descendant of La Roche-</w:t>
      </w:r>
      <w:proofErr w:type="spellStart"/>
      <w:r w:rsidRPr="00D90178">
        <w:t>Guyon</w:t>
      </w:r>
      <w:proofErr w:type="spellEnd"/>
      <w:r w:rsidRPr="00D90178">
        <w:t xml:space="preserve"> </w:t>
      </w:r>
      <w:r w:rsidR="00EB43AD">
        <w:t xml:space="preserve">and </w:t>
      </w:r>
      <w:proofErr w:type="gramStart"/>
      <w:r w:rsidR="00EB43AD">
        <w:t>he</w:t>
      </w:r>
      <w:proofErr w:type="gramEnd"/>
      <w:r w:rsidR="00EB43AD">
        <w:t xml:space="preserve"> </w:t>
      </w:r>
      <w:r w:rsidRPr="00D90178">
        <w:t xml:space="preserve">who translated her head, bones and some contact relics </w:t>
      </w:r>
      <w:r w:rsidR="00C543E0">
        <w:t>(</w:t>
      </w:r>
      <w:r w:rsidRPr="00D90178">
        <w:t>including a belt</w:t>
      </w:r>
      <w:r w:rsidR="00C543E0">
        <w:t>)</w:t>
      </w:r>
      <w:r w:rsidRPr="00D90178">
        <w:t xml:space="preserve"> to the church of Saint-</w:t>
      </w:r>
      <w:proofErr w:type="spellStart"/>
      <w:r w:rsidRPr="00D90178">
        <w:t>Cande</w:t>
      </w:r>
      <w:proofErr w:type="spellEnd"/>
      <w:r w:rsidRPr="00D90178">
        <w:t xml:space="preserve"> in Rouen. In the early years of their veneration, the belt of </w:t>
      </w:r>
      <w:proofErr w:type="spellStart"/>
      <w:r w:rsidRPr="00D90178">
        <w:t>Pientia</w:t>
      </w:r>
      <w:proofErr w:type="spellEnd"/>
      <w:r w:rsidRPr="00D90178">
        <w:t xml:space="preserve"> was known to protect pregnant women and safely deliver their babies.</w:t>
      </w:r>
      <w:r w:rsidRPr="00D90178">
        <w:rPr>
          <w:rStyle w:val="FootnoteReference"/>
          <w:rFonts w:ascii="Times New Roman" w:hAnsi="Times New Roman"/>
          <w:sz w:val="22"/>
        </w:rPr>
        <w:footnoteReference w:id="39"/>
      </w:r>
      <w:r w:rsidRPr="00D90178">
        <w:t xml:space="preserve"> A considerable proportion of </w:t>
      </w:r>
      <w:proofErr w:type="spellStart"/>
      <w:r w:rsidRPr="00D90178">
        <w:t>Davanne’s</w:t>
      </w:r>
      <w:proofErr w:type="spellEnd"/>
      <w:r w:rsidRPr="00D90178">
        <w:t xml:space="preserve"> </w:t>
      </w:r>
      <w:r w:rsidR="00E902FC">
        <w:rPr>
          <w:i/>
        </w:rPr>
        <w:t>vita</w:t>
      </w:r>
      <w:r w:rsidRPr="00D90178">
        <w:rPr>
          <w:i/>
        </w:rPr>
        <w:t xml:space="preserve"> </w:t>
      </w:r>
      <w:r w:rsidR="00E902FC">
        <w:t>is made up</w:t>
      </w:r>
      <w:r w:rsidRPr="00D90178">
        <w:t xml:space="preserve"> of short accounts of later miracles occurring after the relics turned up in </w:t>
      </w:r>
      <w:proofErr w:type="spellStart"/>
      <w:r w:rsidRPr="00D90178">
        <w:t>Meulan</w:t>
      </w:r>
      <w:proofErr w:type="spellEnd"/>
      <w:r w:rsidRPr="00D90178">
        <w:t xml:space="preserve">. Some were </w:t>
      </w:r>
      <w:r w:rsidR="00C543E0" w:rsidRPr="00C543E0">
        <w:t xml:space="preserve">due </w:t>
      </w:r>
      <w:r w:rsidRPr="00D90178">
        <w:t xml:space="preserve">specifically to the intercession of </w:t>
      </w:r>
      <w:proofErr w:type="spellStart"/>
      <w:r w:rsidRPr="00D90178">
        <w:t>Nicasius</w:t>
      </w:r>
      <w:proofErr w:type="spellEnd"/>
      <w:r w:rsidRPr="00D90178">
        <w:t>, but many</w:t>
      </w:r>
      <w:r w:rsidR="00C543E0">
        <w:t xml:space="preserve"> others to all four martyrs;</w:t>
      </w:r>
      <w:r w:rsidRPr="00D90178">
        <w:t xml:space="preserve"> </w:t>
      </w:r>
      <w:r w:rsidR="00C543E0">
        <w:t xml:space="preserve">these were gleaned by </w:t>
      </w:r>
      <w:proofErr w:type="spellStart"/>
      <w:r w:rsidR="00C543E0">
        <w:t>Davanne</w:t>
      </w:r>
      <w:proofErr w:type="spellEnd"/>
      <w:r w:rsidR="00C543E0">
        <w:t xml:space="preserve"> from the</w:t>
      </w:r>
      <w:r w:rsidRPr="00D90178">
        <w:t xml:space="preserve"> ‘ancient manuscript</w:t>
      </w:r>
      <w:r w:rsidR="00C543E0">
        <w:t>s’ at his disposal. One example</w:t>
      </w:r>
      <w:r w:rsidRPr="00D90178">
        <w:t xml:space="preserve"> describes how a priest from Saint-Jacques in </w:t>
      </w:r>
      <w:proofErr w:type="spellStart"/>
      <w:r w:rsidRPr="00D90178">
        <w:t>Meulan</w:t>
      </w:r>
      <w:proofErr w:type="spellEnd"/>
      <w:r w:rsidRPr="00D90178">
        <w:t xml:space="preserve"> came to venerate the relics with a gangrenous hand</w:t>
      </w:r>
      <w:r w:rsidR="00C543E0">
        <w:t>,</w:t>
      </w:r>
      <w:r w:rsidRPr="00D90178">
        <w:t xml:space="preserve"> which was quickly healed after a reliquary was opened and </w:t>
      </w:r>
      <w:r w:rsidRPr="00D90178">
        <w:lastRenderedPageBreak/>
        <w:t xml:space="preserve">he gazed upon the head of </w:t>
      </w:r>
      <w:proofErr w:type="spellStart"/>
      <w:r w:rsidRPr="00D90178">
        <w:t>Pientia</w:t>
      </w:r>
      <w:proofErr w:type="spellEnd"/>
      <w:r w:rsidRPr="00D90178">
        <w:t>.</w:t>
      </w:r>
      <w:r w:rsidRPr="00D90178">
        <w:rPr>
          <w:rStyle w:val="FootnoteReference"/>
          <w:rFonts w:ascii="Times New Roman" w:hAnsi="Times New Roman"/>
          <w:sz w:val="22"/>
        </w:rPr>
        <w:footnoteReference w:id="40"/>
      </w:r>
      <w:r w:rsidRPr="00D90178">
        <w:t xml:space="preserve"> Similar miracles are recounted by </w:t>
      </w:r>
      <w:proofErr w:type="spellStart"/>
      <w:r w:rsidRPr="00D90178">
        <w:t>Davanne</w:t>
      </w:r>
      <w:proofErr w:type="spellEnd"/>
      <w:r w:rsidRPr="00D90178">
        <w:t xml:space="preserve"> </w:t>
      </w:r>
      <w:r w:rsidR="00C543E0">
        <w:t xml:space="preserve">as </w:t>
      </w:r>
      <w:r w:rsidRPr="00D90178">
        <w:t>occurring well into the seventeenth century.</w:t>
      </w:r>
      <w:r w:rsidRPr="00D90178">
        <w:rPr>
          <w:rStyle w:val="FootnoteReference"/>
          <w:rFonts w:ascii="Times New Roman" w:hAnsi="Times New Roman"/>
          <w:sz w:val="22"/>
        </w:rPr>
        <w:footnoteReference w:id="41"/>
      </w:r>
      <w:r w:rsidRPr="00D90178">
        <w:t xml:space="preserve"> </w:t>
      </w:r>
      <w:r w:rsidR="00C543E0">
        <w:t>He</w:t>
      </w:r>
      <w:r w:rsidRPr="00D90178">
        <w:t xml:space="preserve"> also took care to identify sites which were significant for the occurrence of miracles. These included the fountai</w:t>
      </w:r>
      <w:r w:rsidR="00C543E0">
        <w:t>n of Saint-</w:t>
      </w:r>
      <w:proofErr w:type="spellStart"/>
      <w:r w:rsidR="00C543E0">
        <w:t>Nicaise</w:t>
      </w:r>
      <w:proofErr w:type="spellEnd"/>
      <w:r w:rsidR="00C543E0">
        <w:t xml:space="preserve"> at Vaux-sur-S</w:t>
      </w:r>
      <w:r w:rsidRPr="00D90178">
        <w:t>eine</w:t>
      </w:r>
      <w:r w:rsidR="00C543E0">
        <w:t xml:space="preserve">, where </w:t>
      </w:r>
      <w:proofErr w:type="spellStart"/>
      <w:r w:rsidR="00C543E0">
        <w:t>Nicasius</w:t>
      </w:r>
      <w:proofErr w:type="spellEnd"/>
      <w:r w:rsidR="00C543E0">
        <w:t xml:space="preserve"> had baptiz</w:t>
      </w:r>
      <w:r w:rsidRPr="00D90178">
        <w:t xml:space="preserve">ed new </w:t>
      </w:r>
      <w:r w:rsidR="00C543E0">
        <w:t>converts,</w:t>
      </w:r>
      <w:r w:rsidRPr="00D90178">
        <w:t xml:space="preserve"> the water from which could cure a fever.</w:t>
      </w:r>
      <w:r w:rsidRPr="00D90178">
        <w:rPr>
          <w:rStyle w:val="FootnoteReference"/>
          <w:rFonts w:ascii="Times New Roman" w:hAnsi="Times New Roman"/>
          <w:sz w:val="22"/>
        </w:rPr>
        <w:footnoteReference w:id="42"/>
      </w:r>
      <w:r w:rsidRPr="00D90178">
        <w:t xml:space="preserve"> </w:t>
      </w:r>
    </w:p>
    <w:p w:rsidR="00A51E6E" w:rsidRPr="00D90178" w:rsidRDefault="00A51E6E" w:rsidP="00A51E6E">
      <w:pPr>
        <w:pStyle w:val="SCHfollowingpara"/>
      </w:pPr>
      <w:proofErr w:type="spellStart"/>
      <w:r w:rsidRPr="00D90178">
        <w:t>Davanne’s</w:t>
      </w:r>
      <w:proofErr w:type="spellEnd"/>
      <w:r w:rsidRPr="00D90178">
        <w:t xml:space="preserve"> attentiveness to the topography of the </w:t>
      </w:r>
      <w:proofErr w:type="spellStart"/>
      <w:r w:rsidRPr="00D90178">
        <w:t>Vexin</w:t>
      </w:r>
      <w:proofErr w:type="spellEnd"/>
      <w:r w:rsidRPr="00D90178">
        <w:t xml:space="preserve"> was comparable to countless other ‘sacred geographies’ which emerged in Europe during the early modern period. Elizabeth Tingle has, for example, identified the role of the landscape in seventeenth-century Brittany</w:t>
      </w:r>
      <w:r w:rsidR="00C543E0">
        <w:t>,</w:t>
      </w:r>
      <w:r w:rsidRPr="00D90178">
        <w:t xml:space="preserve"> where the </w:t>
      </w:r>
      <w:r w:rsidRPr="00D90178">
        <w:rPr>
          <w:i/>
        </w:rPr>
        <w:t>vitae</w:t>
      </w:r>
      <w:r w:rsidRPr="00D90178">
        <w:t xml:space="preserve"> of early saints helped to reinforce a religious identity for Br</w:t>
      </w:r>
      <w:r w:rsidR="00C543E0">
        <w:t>etons ‘strongly rooted in place</w:t>
      </w:r>
      <w:r w:rsidRPr="00D90178">
        <w:t>’</w:t>
      </w:r>
      <w:r w:rsidR="00C543E0">
        <w:t>.</w:t>
      </w:r>
      <w:r w:rsidRPr="00D90178">
        <w:rPr>
          <w:rStyle w:val="FootnoteReference"/>
          <w:rFonts w:ascii="Times New Roman" w:hAnsi="Times New Roman"/>
          <w:sz w:val="22"/>
        </w:rPr>
        <w:footnoteReference w:id="43"/>
      </w:r>
      <w:r w:rsidRPr="00D90178">
        <w:t xml:space="preserve"> Alexandra Walsham’s studies of the sacred landscape in Reformation</w:t>
      </w:r>
      <w:r w:rsidR="00C543E0">
        <w:t>-era</w:t>
      </w:r>
      <w:r w:rsidRPr="00D90178">
        <w:t xml:space="preserve"> Britain and Ireland have similarly revealed how topographical ‘landmarks’ such as springs, trees and stones played a part in the collective memory as ‘signposts’ of the Christian past.</w:t>
      </w:r>
      <w:r w:rsidRPr="00D90178">
        <w:rPr>
          <w:rStyle w:val="FootnoteReference"/>
          <w:rFonts w:ascii="Times New Roman" w:hAnsi="Times New Roman"/>
          <w:sz w:val="22"/>
        </w:rPr>
        <w:footnoteReference w:id="44"/>
      </w:r>
      <w:r w:rsidRPr="00D90178">
        <w:t xml:space="preserve"> </w:t>
      </w:r>
    </w:p>
    <w:p w:rsidR="00A51E6E" w:rsidRPr="00D90178" w:rsidRDefault="00A51E6E" w:rsidP="00A51E6E">
      <w:pPr>
        <w:pStyle w:val="SCHfollowingpara"/>
      </w:pPr>
      <w:proofErr w:type="spellStart"/>
      <w:r w:rsidRPr="00D90178">
        <w:t>Davanne’s</w:t>
      </w:r>
      <w:proofErr w:type="spellEnd"/>
      <w:r w:rsidRPr="00D90178">
        <w:t xml:space="preserve"> writing was also part of a broader inclination </w:t>
      </w:r>
      <w:r w:rsidR="00C543E0">
        <w:t>to reclaim the Christian past</w:t>
      </w:r>
      <w:r w:rsidRPr="00D90178">
        <w:t xml:space="preserve"> which many historians have detected in Counter-Reformation Europe. The most recent scholarship on the writing of this sacred history has shown that the study of the early Church </w:t>
      </w:r>
      <w:r w:rsidRPr="00D90178">
        <w:lastRenderedPageBreak/>
        <w:t xml:space="preserve">was not just a confessional tool used in competing Catholic and Protestant histories, but also </w:t>
      </w:r>
      <w:r w:rsidR="00C543E0">
        <w:t xml:space="preserve">important to </w:t>
      </w:r>
      <w:r w:rsidRPr="00C543E0">
        <w:rPr>
          <w:iCs/>
        </w:rPr>
        <w:t>intra</w:t>
      </w:r>
      <w:r w:rsidR="00C543E0">
        <w:t>-confessional</w:t>
      </w:r>
      <w:r w:rsidRPr="00D90178">
        <w:t xml:space="preserve"> discussions.</w:t>
      </w:r>
      <w:r w:rsidRPr="00D90178">
        <w:rPr>
          <w:rStyle w:val="FootnoteReference"/>
          <w:rFonts w:ascii="Times New Roman" w:hAnsi="Times New Roman"/>
          <w:sz w:val="22"/>
        </w:rPr>
        <w:footnoteReference w:id="45"/>
      </w:r>
      <w:r w:rsidRPr="00D90178">
        <w:t xml:space="preserve"> Historians such as Simon </w:t>
      </w:r>
      <w:proofErr w:type="spellStart"/>
      <w:r w:rsidRPr="00D90178">
        <w:t>Ditchfield</w:t>
      </w:r>
      <w:proofErr w:type="spellEnd"/>
      <w:r w:rsidRPr="00D90178">
        <w:t xml:space="preserve">, Katie Harris and Howard </w:t>
      </w:r>
      <w:proofErr w:type="spellStart"/>
      <w:r w:rsidRPr="00D90178">
        <w:t>Louthan</w:t>
      </w:r>
      <w:proofErr w:type="spellEnd"/>
      <w:r w:rsidRPr="00D90178">
        <w:t xml:space="preserve"> have shown how such histories helped to strengthen the ‘autonomy’ of local religious practice</w:t>
      </w:r>
      <w:r w:rsidR="00C543E0">
        <w:t>s in response to official</w:t>
      </w:r>
      <w:r w:rsidRPr="00D90178">
        <w:t xml:space="preserve"> attempts to regularize devotions with the revised Roman Breviary in 1568 and the creation of the Sacred Congregation of Rites in 1588.</w:t>
      </w:r>
      <w:r w:rsidRPr="00D90178">
        <w:rPr>
          <w:rStyle w:val="FootnoteReference"/>
          <w:rFonts w:ascii="Times New Roman" w:hAnsi="Times New Roman"/>
          <w:sz w:val="22"/>
        </w:rPr>
        <w:footnoteReference w:id="46"/>
      </w:r>
      <w:r w:rsidRPr="00D90178">
        <w:t xml:space="preserve"> </w:t>
      </w:r>
      <w:proofErr w:type="spellStart"/>
      <w:r w:rsidRPr="00D90178">
        <w:t>Ditchfield’s</w:t>
      </w:r>
      <w:proofErr w:type="spellEnd"/>
      <w:r w:rsidRPr="00D90178">
        <w:t xml:space="preserve"> study of Pietro Maria </w:t>
      </w:r>
      <w:proofErr w:type="spellStart"/>
      <w:r w:rsidRPr="00D90178">
        <w:t>Campi</w:t>
      </w:r>
      <w:proofErr w:type="spellEnd"/>
      <w:r w:rsidRPr="00D90178">
        <w:t xml:space="preserve"> shows </w:t>
      </w:r>
      <w:r w:rsidR="00C543E0" w:rsidRPr="00C543E0">
        <w:t xml:space="preserve">expertly </w:t>
      </w:r>
      <w:r w:rsidRPr="00D90178">
        <w:t xml:space="preserve">how local counterparts to Cesare </w:t>
      </w:r>
      <w:proofErr w:type="spellStart"/>
      <w:r w:rsidRPr="00D90178">
        <w:t>Baronio’s</w:t>
      </w:r>
      <w:proofErr w:type="spellEnd"/>
      <w:r w:rsidRPr="00D90178">
        <w:t xml:space="preserve"> </w:t>
      </w:r>
      <w:proofErr w:type="spellStart"/>
      <w:r w:rsidRPr="00D90178">
        <w:rPr>
          <w:i/>
        </w:rPr>
        <w:t>Annales</w:t>
      </w:r>
      <w:proofErr w:type="spellEnd"/>
      <w:r w:rsidRPr="00D90178">
        <w:rPr>
          <w:i/>
        </w:rPr>
        <w:t xml:space="preserve"> </w:t>
      </w:r>
      <w:proofErr w:type="spellStart"/>
      <w:r w:rsidRPr="00D90178">
        <w:rPr>
          <w:i/>
        </w:rPr>
        <w:t>Ecclesiastici</w:t>
      </w:r>
      <w:proofErr w:type="spellEnd"/>
      <w:r w:rsidRPr="00D90178">
        <w:t xml:space="preserve"> sought to ‘vindicate’ local devotional traditions.</w:t>
      </w:r>
      <w:r w:rsidRPr="00D90178">
        <w:rPr>
          <w:rStyle w:val="FootnoteReference"/>
          <w:rFonts w:ascii="Times New Roman" w:hAnsi="Times New Roman"/>
          <w:sz w:val="22"/>
        </w:rPr>
        <w:footnoteReference w:id="47"/>
      </w:r>
    </w:p>
    <w:p w:rsidR="00A51E6E" w:rsidRPr="00D90178" w:rsidRDefault="00A51E6E" w:rsidP="00A51E6E">
      <w:pPr>
        <w:pStyle w:val="SCHfollowingpara"/>
      </w:pPr>
      <w:r w:rsidRPr="00D90178">
        <w:t xml:space="preserve">There are indications that </w:t>
      </w:r>
      <w:proofErr w:type="spellStart"/>
      <w:r w:rsidRPr="00D90178">
        <w:t>Davanne</w:t>
      </w:r>
      <w:proofErr w:type="spellEnd"/>
      <w:r w:rsidRPr="00D90178">
        <w:t xml:space="preserve"> was indeed working to raise the profile of the regional cults of </w:t>
      </w:r>
      <w:proofErr w:type="spellStart"/>
      <w:r w:rsidRPr="00D90178">
        <w:t>Pientia</w:t>
      </w:r>
      <w:proofErr w:type="spellEnd"/>
      <w:r w:rsidRPr="00D90178">
        <w:t xml:space="preserve"> and her companions. The timing of the two editions of </w:t>
      </w:r>
      <w:proofErr w:type="spellStart"/>
      <w:r w:rsidRPr="00D90178">
        <w:t>Davanne’s</w:t>
      </w:r>
      <w:proofErr w:type="spellEnd"/>
      <w:r w:rsidRPr="00D90178">
        <w:t xml:space="preserve"> text lends further support to this hypothesis, as both followed the issuing of the Rouen breviaries of 1627 and 1642</w:t>
      </w:r>
      <w:r w:rsidR="00C543E0">
        <w:t>,</w:t>
      </w:r>
      <w:r w:rsidRPr="00D90178">
        <w:t xml:space="preserve"> which caused a controversy between the archbishop and </w:t>
      </w:r>
      <w:r w:rsidR="00C543E0">
        <w:t xml:space="preserve">the </w:t>
      </w:r>
      <w:r w:rsidRPr="00D90178">
        <w:t>cathedral chapter.</w:t>
      </w:r>
      <w:r w:rsidRPr="00D90178">
        <w:rPr>
          <w:rStyle w:val="FootnoteReference"/>
          <w:rFonts w:ascii="Times New Roman" w:hAnsi="Times New Roman"/>
          <w:sz w:val="22"/>
        </w:rPr>
        <w:t xml:space="preserve"> </w:t>
      </w:r>
      <w:r w:rsidRPr="00D90178">
        <w:rPr>
          <w:rStyle w:val="FootnoteReference"/>
          <w:rFonts w:ascii="Times New Roman" w:hAnsi="Times New Roman"/>
          <w:sz w:val="22"/>
        </w:rPr>
        <w:footnoteReference w:id="48"/>
      </w:r>
      <w:r w:rsidRPr="00D90178">
        <w:t xml:space="preserve"> François de </w:t>
      </w:r>
      <w:proofErr w:type="spellStart"/>
      <w:r w:rsidRPr="00D90178">
        <w:t>Harlay</w:t>
      </w:r>
      <w:proofErr w:type="spellEnd"/>
      <w:r w:rsidRPr="00D90178">
        <w:t xml:space="preserve">, uncle of François de </w:t>
      </w:r>
      <w:proofErr w:type="spellStart"/>
      <w:r w:rsidRPr="00D90178">
        <w:t>Harlay</w:t>
      </w:r>
      <w:proofErr w:type="spellEnd"/>
      <w:r w:rsidRPr="00D90178">
        <w:t xml:space="preserve"> de </w:t>
      </w:r>
      <w:proofErr w:type="spellStart"/>
      <w:r w:rsidRPr="00D90178">
        <w:t>Champvallon</w:t>
      </w:r>
      <w:proofErr w:type="spellEnd"/>
      <w:r w:rsidRPr="00D90178">
        <w:t xml:space="preserve">, was a keen reformer of the Rouen breviary and during his episcopate from 1615 to 1651, three </w:t>
      </w:r>
      <w:r w:rsidR="00EB43AD">
        <w:t xml:space="preserve">editions </w:t>
      </w:r>
      <w:r w:rsidR="00C543E0">
        <w:t>were published in 1617, 1627 and</w:t>
      </w:r>
      <w:r w:rsidRPr="00D90178">
        <w:t xml:space="preserve"> 1642, as</w:t>
      </w:r>
      <w:r w:rsidR="00C543E0">
        <w:t xml:space="preserve"> well as an edition of the missa</w:t>
      </w:r>
      <w:r w:rsidRPr="00D90178">
        <w:t>l in 1623.</w:t>
      </w:r>
      <w:r w:rsidRPr="00D90178">
        <w:rPr>
          <w:rStyle w:val="FootnoteReference"/>
          <w:rFonts w:ascii="Times New Roman" w:hAnsi="Times New Roman"/>
          <w:sz w:val="22"/>
        </w:rPr>
        <w:footnoteReference w:id="49"/>
      </w:r>
      <w:r w:rsidRPr="00D90178">
        <w:t xml:space="preserve"> Reform of the breviary in France was subject to substantial regional variation but, despite </w:t>
      </w:r>
      <w:r w:rsidRPr="00D90178">
        <w:lastRenderedPageBreak/>
        <w:t>some resistance, most dioceses had adopted the Roman missal and breviary of Pope Pius V by the mid-seventeenth century.</w:t>
      </w:r>
      <w:r w:rsidRPr="00D90178">
        <w:rPr>
          <w:rStyle w:val="FootnoteReference"/>
          <w:rFonts w:ascii="Times New Roman" w:hAnsi="Times New Roman"/>
          <w:sz w:val="22"/>
        </w:rPr>
        <w:footnoteReference w:id="50"/>
      </w:r>
      <w:r w:rsidRPr="00D90178">
        <w:t xml:space="preserve"> This preceded a wave of reforms to the French liturgy in the </w:t>
      </w:r>
      <w:r w:rsidR="00C543E0">
        <w:t>direction of</w:t>
      </w:r>
      <w:r w:rsidRPr="00D90178">
        <w:t xml:space="preserve"> a ‘neo-Gallican’ liturgy which also centred on a culling of saints’ feasts, but also the addition of daily readings from the Old Testament.</w:t>
      </w:r>
      <w:r w:rsidRPr="00D90178">
        <w:rPr>
          <w:rStyle w:val="FootnoteReference"/>
          <w:rFonts w:ascii="Times New Roman" w:hAnsi="Times New Roman"/>
          <w:sz w:val="22"/>
        </w:rPr>
        <w:footnoteReference w:id="51"/>
      </w:r>
      <w:r w:rsidRPr="00D90178">
        <w:t xml:space="preserve"> </w:t>
      </w:r>
      <w:proofErr w:type="spellStart"/>
      <w:r w:rsidRPr="00D90178">
        <w:t>Harlay’s</w:t>
      </w:r>
      <w:proofErr w:type="spellEnd"/>
      <w:r w:rsidRPr="00D90178">
        <w:t xml:space="preserve"> early reforming efforts in Rouen were undoubtedly inspired by the</w:t>
      </w:r>
      <w:r w:rsidR="00C543E0">
        <w:t xml:space="preserve"> Tridentine spirit of standardiz</w:t>
      </w:r>
      <w:r w:rsidRPr="00D90178">
        <w:t>ation. In April 1627 he addressed the diocese and invited them to make the transition to the new, reformed breviary.</w:t>
      </w:r>
      <w:r w:rsidRPr="00D90178">
        <w:rPr>
          <w:rStyle w:val="FootnoteReference"/>
          <w:rFonts w:ascii="Times New Roman" w:hAnsi="Times New Roman"/>
          <w:sz w:val="22"/>
        </w:rPr>
        <w:footnoteReference w:id="52"/>
      </w:r>
      <w:r w:rsidRPr="00D90178">
        <w:t xml:space="preserve"> The calendar of the 1627 edition confirms that the feast of </w:t>
      </w:r>
      <w:proofErr w:type="spellStart"/>
      <w:r w:rsidRPr="00D90178">
        <w:t>Nicasius</w:t>
      </w:r>
      <w:proofErr w:type="spellEnd"/>
      <w:r w:rsidRPr="00D90178">
        <w:t xml:space="preserve"> (and associated martyrs) on 11 October was actually retained, but perhaps it was the perceived threat to local liturgical tradition in these controversial reforms which may have motivated </w:t>
      </w:r>
      <w:proofErr w:type="spellStart"/>
      <w:r w:rsidRPr="00D90178">
        <w:t>Davanne</w:t>
      </w:r>
      <w:proofErr w:type="spellEnd"/>
      <w:r w:rsidRPr="00D90178">
        <w:t xml:space="preserve"> to</w:t>
      </w:r>
      <w:r w:rsidR="00C543E0">
        <w:t xml:space="preserve"> write his first edition that year</w:t>
      </w:r>
      <w:r w:rsidRPr="00D90178">
        <w:t>.</w:t>
      </w:r>
      <w:r w:rsidRPr="00D90178">
        <w:rPr>
          <w:rStyle w:val="FootnoteReference"/>
          <w:rFonts w:ascii="Times New Roman" w:hAnsi="Times New Roman"/>
          <w:sz w:val="22"/>
        </w:rPr>
        <w:footnoteReference w:id="53"/>
      </w:r>
      <w:r w:rsidRPr="00D90178">
        <w:t xml:space="preserve"> </w:t>
      </w:r>
    </w:p>
    <w:p w:rsidR="00A51E6E" w:rsidRPr="00D90178" w:rsidRDefault="00A51E6E" w:rsidP="009501FC">
      <w:pPr>
        <w:pStyle w:val="SCHfollowingpara"/>
      </w:pPr>
      <w:r w:rsidRPr="00D90178">
        <w:t>Socially elite families had long been sequestering desirable sacred relics at their estates as part what Peter Brown called</w:t>
      </w:r>
      <w:r w:rsidR="00C543E0">
        <w:t xml:space="preserve"> the ‘privatisation of the holy</w:t>
      </w:r>
      <w:r w:rsidRPr="00D90178">
        <w:t>’</w:t>
      </w:r>
      <w:r w:rsidR="00C543E0">
        <w:t>.</w:t>
      </w:r>
      <w:r w:rsidRPr="00D90178">
        <w:rPr>
          <w:rStyle w:val="FootnoteReference"/>
          <w:rFonts w:ascii="Times New Roman" w:hAnsi="Times New Roman"/>
          <w:sz w:val="22"/>
        </w:rPr>
        <w:footnoteReference w:id="54"/>
      </w:r>
      <w:r w:rsidRPr="00D90178">
        <w:t xml:space="preserve"> There is less research specifically on the role played by seigneurial chapels in fostering devotions to local saints and their relics in the Counter-Reformation era, but scholars have begun to observe occasions when the European elite used relics to celebrate family lineages and spiritual heritage.</w:t>
      </w:r>
      <w:r w:rsidRPr="00D90178">
        <w:rPr>
          <w:rStyle w:val="FootnoteReference"/>
          <w:rFonts w:ascii="Times New Roman" w:hAnsi="Times New Roman"/>
          <w:sz w:val="22"/>
        </w:rPr>
        <w:footnoteReference w:id="55"/>
      </w:r>
      <w:r w:rsidRPr="00D90178">
        <w:t xml:space="preserve"> It was, </w:t>
      </w:r>
      <w:r w:rsidRPr="00D90178">
        <w:lastRenderedPageBreak/>
        <w:t>at least in part,</w:t>
      </w:r>
      <w:r w:rsidR="00C543E0">
        <w:t xml:space="preserve"> the mid-century renaissance of</w:t>
      </w:r>
      <w:r w:rsidRPr="00D90178">
        <w:t xml:space="preserve"> the cult of </w:t>
      </w:r>
      <w:proofErr w:type="spellStart"/>
      <w:r w:rsidRPr="00D90178">
        <w:t>Pientia</w:t>
      </w:r>
      <w:proofErr w:type="spellEnd"/>
      <w:r w:rsidRPr="00D90178">
        <w:t xml:space="preserve"> which inspired the local </w:t>
      </w:r>
      <w:proofErr w:type="spellStart"/>
      <w:r w:rsidRPr="00D90178">
        <w:t>seigneur</w:t>
      </w:r>
      <w:proofErr w:type="spellEnd"/>
      <w:r w:rsidRPr="00D90178">
        <w:t xml:space="preserve"> and his pious wife to procure the saint’s finger in December 1654. We know, for example, that </w:t>
      </w:r>
      <w:proofErr w:type="spellStart"/>
      <w:r w:rsidRPr="00D90178">
        <w:t>Davanne’s</w:t>
      </w:r>
      <w:proofErr w:type="spellEnd"/>
      <w:r w:rsidRPr="00D90178">
        <w:t xml:space="preserve"> missi</w:t>
      </w:r>
      <w:r w:rsidR="00C543E0">
        <w:t xml:space="preserve">on to extol the early </w:t>
      </w:r>
      <w:r w:rsidRPr="00D90178">
        <w:t xml:space="preserve">martyrs of the </w:t>
      </w:r>
      <w:proofErr w:type="spellStart"/>
      <w:r w:rsidRPr="00D90178">
        <w:t>Vexin</w:t>
      </w:r>
      <w:proofErr w:type="spellEnd"/>
      <w:r w:rsidRPr="00D90178">
        <w:t xml:space="preserve"> began to be endorsed by his peers by the mid-seventeenth century. The work of Cécile Davy-</w:t>
      </w:r>
      <w:proofErr w:type="spellStart"/>
      <w:r w:rsidRPr="00D90178">
        <w:t>Rigaux</w:t>
      </w:r>
      <w:proofErr w:type="spellEnd"/>
      <w:r w:rsidRPr="00D90178">
        <w:t xml:space="preserve"> on the compositions of Baroque composer Mar</w:t>
      </w:r>
      <w:r w:rsidR="00C543E0">
        <w:t xml:space="preserve">c-Antoine </w:t>
      </w:r>
      <w:proofErr w:type="spellStart"/>
      <w:r w:rsidR="00C543E0">
        <w:t>Charpentier</w:t>
      </w:r>
      <w:proofErr w:type="spellEnd"/>
      <w:r w:rsidR="00C543E0">
        <w:t xml:space="preserve"> (1643–</w:t>
      </w:r>
      <w:r w:rsidRPr="00D90178">
        <w:t>1704) has revealed his cont</w:t>
      </w:r>
      <w:r w:rsidR="00C543E0">
        <w:t xml:space="preserve">ribution towards three </w:t>
      </w:r>
      <w:r w:rsidR="00C543E0" w:rsidRPr="00C543E0">
        <w:t xml:space="preserve">plainsong </w:t>
      </w:r>
      <w:r w:rsidR="00C543E0">
        <w:t xml:space="preserve">hymns </w:t>
      </w:r>
      <w:r w:rsidR="00CF40FE">
        <w:t>which were dedicated to S</w:t>
      </w:r>
      <w:r w:rsidRPr="00D90178">
        <w:t xml:space="preserve">t </w:t>
      </w:r>
      <w:proofErr w:type="spellStart"/>
      <w:r w:rsidRPr="00D90178">
        <w:t>Nicasius</w:t>
      </w:r>
      <w:proofErr w:type="spellEnd"/>
      <w:r w:rsidRPr="00D90178">
        <w:t xml:space="preserve">. These hymns were </w:t>
      </w:r>
      <w:r w:rsidR="00CF40FE">
        <w:t>apparent</w:t>
      </w:r>
      <w:r w:rsidRPr="00D90178">
        <w:t xml:space="preserve">ly composed by a Jesuit Jean </w:t>
      </w:r>
      <w:proofErr w:type="spellStart"/>
      <w:r w:rsidRPr="00D90178">
        <w:t>Commir</w:t>
      </w:r>
      <w:r w:rsidR="00CF40FE">
        <w:t>e</w:t>
      </w:r>
      <w:proofErr w:type="spellEnd"/>
      <w:r w:rsidR="00CF40FE">
        <w:t xml:space="preserve"> (1625–</w:t>
      </w:r>
      <w:r w:rsidRPr="00D90178">
        <w:t xml:space="preserve">1702) after a visit to the Jesuit </w:t>
      </w:r>
      <w:proofErr w:type="gramStart"/>
      <w:r w:rsidRPr="00D90178">
        <w:t>college</w:t>
      </w:r>
      <w:proofErr w:type="gramEnd"/>
      <w:r w:rsidRPr="00D90178">
        <w:t xml:space="preserve"> in Rouen in 1662.</w:t>
      </w:r>
      <w:r w:rsidRPr="00D90178">
        <w:rPr>
          <w:rStyle w:val="FootnoteReference"/>
          <w:rFonts w:ascii="Times New Roman" w:hAnsi="Times New Roman"/>
          <w:sz w:val="22"/>
        </w:rPr>
        <w:footnoteReference w:id="56"/>
      </w:r>
      <w:r w:rsidRPr="00D90178">
        <w:t xml:space="preserve"> As </w:t>
      </w:r>
      <w:proofErr w:type="spellStart"/>
      <w:r w:rsidRPr="00D90178">
        <w:t>Pientia’s</w:t>
      </w:r>
      <w:proofErr w:type="spellEnd"/>
      <w:r w:rsidRPr="00D90178">
        <w:t xml:space="preserve"> status as ‘Dame de La Roche </w:t>
      </w:r>
      <w:proofErr w:type="spellStart"/>
      <w:r w:rsidRPr="00D90178">
        <w:t>Guyon</w:t>
      </w:r>
      <w:proofErr w:type="spellEnd"/>
      <w:r w:rsidRPr="00D90178">
        <w:t xml:space="preserve">’ was emphasized by </w:t>
      </w:r>
      <w:proofErr w:type="spellStart"/>
      <w:r w:rsidRPr="00D90178">
        <w:t>Davanne</w:t>
      </w:r>
      <w:proofErr w:type="spellEnd"/>
      <w:r w:rsidRPr="00D90178">
        <w:t xml:space="preserve">, perhaps the </w:t>
      </w:r>
      <w:proofErr w:type="spellStart"/>
      <w:r w:rsidRPr="00D90178">
        <w:t>Liancourts</w:t>
      </w:r>
      <w:proofErr w:type="spellEnd"/>
      <w:r w:rsidRPr="00D90178">
        <w:t xml:space="preserve"> sought to associate their château with this new cult. It seems that </w:t>
      </w:r>
      <w:proofErr w:type="spellStart"/>
      <w:r w:rsidRPr="00D90178">
        <w:t>Davanne’s</w:t>
      </w:r>
      <w:proofErr w:type="spellEnd"/>
      <w:r w:rsidRPr="00D90178">
        <w:t xml:space="preserve"> efforts to raise the profile of the cults had begun to pay off.</w:t>
      </w:r>
      <w:r w:rsidRPr="00D90178">
        <w:rPr>
          <w:rStyle w:val="FootnoteReference"/>
          <w:rFonts w:ascii="Times New Roman" w:hAnsi="Times New Roman"/>
          <w:sz w:val="22"/>
        </w:rPr>
        <w:footnoteReference w:id="57"/>
      </w:r>
      <w:r w:rsidRPr="00D90178">
        <w:t xml:space="preserve"> </w:t>
      </w:r>
    </w:p>
    <w:p w:rsidR="00A51E6E" w:rsidRPr="00D90178" w:rsidRDefault="00CF40FE" w:rsidP="009501FC">
      <w:pPr>
        <w:pStyle w:val="SCHfollowingpara"/>
      </w:pPr>
      <w:r>
        <w:t xml:space="preserve">The decision by the </w:t>
      </w:r>
      <w:proofErr w:type="spellStart"/>
      <w:r>
        <w:t>duc</w:t>
      </w:r>
      <w:proofErr w:type="spellEnd"/>
      <w:r w:rsidR="00A51E6E" w:rsidRPr="00D90178">
        <w:t xml:space="preserve"> and duchess</w:t>
      </w:r>
      <w:r>
        <w:t>e</w:t>
      </w:r>
      <w:r w:rsidR="00A51E6E" w:rsidRPr="00D90178">
        <w:t xml:space="preserve"> de Liancourt to display the relic of </w:t>
      </w:r>
      <w:proofErr w:type="spellStart"/>
      <w:r w:rsidR="00A51E6E" w:rsidRPr="00D90178">
        <w:t>Pientia</w:t>
      </w:r>
      <w:proofErr w:type="spellEnd"/>
      <w:r w:rsidR="00A51E6E" w:rsidRPr="00D90178">
        <w:t xml:space="preserve"> in their family chapel has </w:t>
      </w:r>
      <w:r w:rsidRPr="00CF40FE">
        <w:t xml:space="preserve">also </w:t>
      </w:r>
      <w:r w:rsidR="00A51E6E" w:rsidRPr="00D90178">
        <w:t>to be interpreted as an expression of their status as rigorists and patrons of the Ci</w:t>
      </w:r>
      <w:r>
        <w:t>stercian convent of Port-Royal,</w:t>
      </w:r>
      <w:r w:rsidR="00A51E6E" w:rsidRPr="00D90178">
        <w:t xml:space="preserve"> the hub of the ‘Jansenist’ movement. The Port-Royalists were known for the sense of identification they felt with the early Christians as </w:t>
      </w:r>
      <w:r w:rsidR="00A51E6E" w:rsidRPr="00D90178">
        <w:lastRenderedPageBreak/>
        <w:t>‘martyrs’ persecuted by their own society.</w:t>
      </w:r>
      <w:r w:rsidR="00A51E6E" w:rsidRPr="00D90178">
        <w:rPr>
          <w:rStyle w:val="FootnoteReference"/>
          <w:rFonts w:ascii="Times New Roman" w:hAnsi="Times New Roman"/>
          <w:sz w:val="22"/>
        </w:rPr>
        <w:footnoteReference w:id="58"/>
      </w:r>
      <w:r w:rsidR="00A51E6E" w:rsidRPr="00D90178">
        <w:t xml:space="preserve"> Patristic works were celebrated by the Port-Royalists who held up the ‘apostolic purity’ of the early Christian Church.</w:t>
      </w:r>
      <w:r w:rsidR="00A51E6E" w:rsidRPr="00D90178">
        <w:rPr>
          <w:rStyle w:val="FootnoteReference"/>
          <w:rFonts w:ascii="Times New Roman" w:hAnsi="Times New Roman"/>
          <w:sz w:val="22"/>
        </w:rPr>
        <w:footnoteReference w:id="59"/>
      </w:r>
      <w:r w:rsidR="00A51E6E" w:rsidRPr="00D90178">
        <w:t xml:space="preserve"> We know from the probate inventory taken in 1672 that in her apartment at the château de la Roche-</w:t>
      </w:r>
      <w:proofErr w:type="spellStart"/>
      <w:r w:rsidR="00A51E6E" w:rsidRPr="00D90178">
        <w:t>Guyon</w:t>
      </w:r>
      <w:proofErr w:type="spellEnd"/>
      <w:r w:rsidR="00A51E6E" w:rsidRPr="00D90178">
        <w:t xml:space="preserve"> the duchess</w:t>
      </w:r>
      <w:r>
        <w:t>e</w:t>
      </w:r>
      <w:r w:rsidR="00A51E6E" w:rsidRPr="00D90178">
        <w:t xml:space="preserve"> de Liancourt was in possession of a selection of devotional books which co</w:t>
      </w:r>
      <w:r>
        <w:t>nfirm her personal interest in p</w:t>
      </w:r>
      <w:r w:rsidR="00A51E6E" w:rsidRPr="00D90178">
        <w:t>atristics.</w:t>
      </w:r>
      <w:r w:rsidR="00A51E6E" w:rsidRPr="00D90178">
        <w:rPr>
          <w:rStyle w:val="FootnoteReference"/>
          <w:rFonts w:ascii="Times New Roman" w:hAnsi="Times New Roman"/>
          <w:sz w:val="22"/>
        </w:rPr>
        <w:footnoteReference w:id="60"/>
      </w:r>
      <w:r w:rsidR="00A51E6E" w:rsidRPr="00D90178">
        <w:t xml:space="preserve"> Alongside the spiritual </w:t>
      </w:r>
      <w:r>
        <w:t>letters of the Port-Royalist</w:t>
      </w:r>
      <w:r w:rsidR="00A51E6E" w:rsidRPr="00D90178">
        <w:t xml:space="preserve"> abbot of Saint-</w:t>
      </w:r>
      <w:proofErr w:type="spellStart"/>
      <w:r w:rsidR="00A51E6E" w:rsidRPr="00D90178">
        <w:t>Cyran</w:t>
      </w:r>
      <w:proofErr w:type="spellEnd"/>
      <w:r w:rsidR="00A51E6E" w:rsidRPr="00D90178">
        <w:t>, in her small study the duchess</w:t>
      </w:r>
      <w:r>
        <w:t>e also kept translations of works by</w:t>
      </w:r>
      <w:r w:rsidR="00A51E6E" w:rsidRPr="00D90178">
        <w:t xml:space="preserve"> Athanasius and Augustine’s </w:t>
      </w:r>
      <w:r>
        <w:rPr>
          <w:i/>
        </w:rPr>
        <w:t xml:space="preserve">De libero </w:t>
      </w:r>
      <w:proofErr w:type="spellStart"/>
      <w:r>
        <w:rPr>
          <w:i/>
        </w:rPr>
        <w:t>a</w:t>
      </w:r>
      <w:r w:rsidR="00A51E6E" w:rsidRPr="00D90178">
        <w:rPr>
          <w:i/>
        </w:rPr>
        <w:t>rbitrio</w:t>
      </w:r>
      <w:proofErr w:type="spellEnd"/>
      <w:r w:rsidR="00A51E6E" w:rsidRPr="00D90178">
        <w:rPr>
          <w:i/>
        </w:rPr>
        <w:t xml:space="preserve"> </w:t>
      </w:r>
      <w:r w:rsidR="00A51E6E" w:rsidRPr="00D90178">
        <w:t xml:space="preserve">(‘On Free Will’), </w:t>
      </w:r>
      <w:r>
        <w:t>among others</w:t>
      </w:r>
      <w:r w:rsidR="00A51E6E" w:rsidRPr="00D90178">
        <w:t>. Whilst readership of the Church Fathers was not uncommon in the seventeenth century, these particular titl</w:t>
      </w:r>
      <w:r>
        <w:t>es were more extraordinary and,</w:t>
      </w:r>
      <w:r w:rsidR="00A51E6E" w:rsidRPr="00D90178">
        <w:t xml:space="preserve"> as far as we can tell from broader studies </w:t>
      </w:r>
      <w:r>
        <w:t>of reading practices in France,</w:t>
      </w:r>
      <w:r w:rsidR="00A51E6E" w:rsidRPr="00D90178">
        <w:t xml:space="preserve"> less widely read.</w:t>
      </w:r>
      <w:r w:rsidR="00A51E6E" w:rsidRPr="00D90178">
        <w:rPr>
          <w:rStyle w:val="FootnoteReference"/>
          <w:rFonts w:ascii="Times New Roman" w:hAnsi="Times New Roman"/>
          <w:sz w:val="22"/>
        </w:rPr>
        <w:footnoteReference w:id="61"/>
      </w:r>
      <w:r w:rsidR="00A51E6E" w:rsidRPr="00D90178">
        <w:t xml:space="preserve"> Liancourt’s ownership of Augustine’s </w:t>
      </w:r>
      <w:r>
        <w:rPr>
          <w:i/>
        </w:rPr>
        <w:t xml:space="preserve">De libero </w:t>
      </w:r>
      <w:proofErr w:type="spellStart"/>
      <w:r>
        <w:rPr>
          <w:i/>
        </w:rPr>
        <w:t>a</w:t>
      </w:r>
      <w:r w:rsidR="00A51E6E" w:rsidRPr="00D90178">
        <w:rPr>
          <w:i/>
        </w:rPr>
        <w:t>rbitrio</w:t>
      </w:r>
      <w:proofErr w:type="spellEnd"/>
      <w:r w:rsidR="00A51E6E" w:rsidRPr="00D90178">
        <w:rPr>
          <w:i/>
        </w:rPr>
        <w:t xml:space="preserve"> </w:t>
      </w:r>
      <w:r w:rsidR="00A51E6E" w:rsidRPr="00D90178">
        <w:t xml:space="preserve">was undoubtedly also a reflection of her engagement with the theological debates at the heart of the Jansenist controversy – the place of human free will in salvation. </w:t>
      </w:r>
    </w:p>
    <w:p w:rsidR="00A51E6E" w:rsidRPr="00D90178" w:rsidRDefault="00A51E6E" w:rsidP="009501FC">
      <w:pPr>
        <w:pStyle w:val="SCHfollowingpara"/>
      </w:pPr>
      <w:r w:rsidRPr="00D90178">
        <w:t>These reading materials thus point to the significance of La Roche-</w:t>
      </w:r>
      <w:proofErr w:type="spellStart"/>
      <w:r w:rsidRPr="00D90178">
        <w:t>Guyon</w:t>
      </w:r>
      <w:proofErr w:type="spellEnd"/>
      <w:r w:rsidRPr="00D90178">
        <w:t xml:space="preserve"> as a site for the evocation of the </w:t>
      </w:r>
      <w:proofErr w:type="spellStart"/>
      <w:r w:rsidR="00CF40FE">
        <w:t>Liancourts</w:t>
      </w:r>
      <w:proofErr w:type="spellEnd"/>
      <w:r w:rsidR="00CF40FE">
        <w:t>’</w:t>
      </w:r>
      <w:r w:rsidRPr="00D90178">
        <w:t xml:space="preserve"> identi</w:t>
      </w:r>
      <w:r w:rsidR="00CF40FE">
        <w:t>ty as patrons of Port-Royal and</w:t>
      </w:r>
      <w:r w:rsidRPr="00D90178">
        <w:t xml:space="preserve"> </w:t>
      </w:r>
      <w:r w:rsidR="00CF40FE">
        <w:t xml:space="preserve">(by implication) their identification with the early </w:t>
      </w:r>
      <w:r w:rsidRPr="00D90178">
        <w:t>heritage of the Church. Importantly, this was also reflected in the material culture of the devotional spaces they used at the château. At La Roche-</w:t>
      </w:r>
      <w:proofErr w:type="spellStart"/>
      <w:r w:rsidRPr="00D90178">
        <w:t>Guyon</w:t>
      </w:r>
      <w:proofErr w:type="spellEnd"/>
      <w:r w:rsidRPr="00D90178">
        <w:t xml:space="preserve">, </w:t>
      </w:r>
      <w:proofErr w:type="spellStart"/>
      <w:r w:rsidRPr="00D90178">
        <w:t>Pientia’s</w:t>
      </w:r>
      <w:proofErr w:type="spellEnd"/>
      <w:r w:rsidRPr="00D90178">
        <w:t xml:space="preserve"> finger was ‘kept company’ by a substantial collections of early Christian bones </w:t>
      </w:r>
      <w:r w:rsidRPr="00D90178">
        <w:lastRenderedPageBreak/>
        <w:t>which arguably had some very rigorist traits.</w:t>
      </w:r>
      <w:r w:rsidRPr="00D90178">
        <w:rPr>
          <w:rStyle w:val="FootnoteReference"/>
          <w:rFonts w:ascii="Times New Roman" w:hAnsi="Times New Roman"/>
          <w:sz w:val="22"/>
        </w:rPr>
        <w:footnoteReference w:id="62"/>
      </w:r>
      <w:r w:rsidR="002130E3">
        <w:t xml:space="preserve"> As</w:t>
      </w:r>
      <w:r w:rsidRPr="00D90178">
        <w:t xml:space="preserve"> already noted, the repository in the chapel included the relics of martyrs Thomas the ‘doubting’ apostle, Matthias, Lawrence, Barbara and</w:t>
      </w:r>
      <w:r w:rsidR="002130E3">
        <w:t xml:space="preserve"> Catherine of Alexandria. L</w:t>
      </w:r>
      <w:r w:rsidRPr="00D90178">
        <w:t xml:space="preserve">ike </w:t>
      </w:r>
      <w:proofErr w:type="spellStart"/>
      <w:r w:rsidRPr="00D90178">
        <w:t>Pientia</w:t>
      </w:r>
      <w:proofErr w:type="spellEnd"/>
      <w:r w:rsidRPr="00D90178">
        <w:t>, these early Christian martyrs were all persecuted for their faith</w:t>
      </w:r>
      <w:r w:rsidR="002130E3">
        <w:t>,</w:t>
      </w:r>
      <w:r w:rsidRPr="00D90178">
        <w:t xml:space="preserve"> which must have had a clear resonance for their rigorist custodians. Once the finger of </w:t>
      </w:r>
      <w:proofErr w:type="spellStart"/>
      <w:r w:rsidRPr="00D90178">
        <w:t>Pie</w:t>
      </w:r>
      <w:r w:rsidR="002130E3">
        <w:t>ntia</w:t>
      </w:r>
      <w:proofErr w:type="spellEnd"/>
      <w:r w:rsidR="002130E3">
        <w:t xml:space="preserve"> was translated to La Roche-</w:t>
      </w:r>
      <w:proofErr w:type="spellStart"/>
      <w:r w:rsidR="002130E3">
        <w:t>Guyon</w:t>
      </w:r>
      <w:proofErr w:type="spellEnd"/>
      <w:r w:rsidR="002130E3">
        <w:t xml:space="preserve"> in 1654, her relics </w:t>
      </w:r>
      <w:r w:rsidRPr="00D90178">
        <w:t>not only</w:t>
      </w:r>
      <w:r w:rsidR="002130E3">
        <w:t xml:space="preserve"> became</w:t>
      </w:r>
      <w:r w:rsidRPr="00D90178">
        <w:t xml:space="preserve"> part of the local sacred history constructed by </w:t>
      </w:r>
      <w:proofErr w:type="spellStart"/>
      <w:r w:rsidRPr="00D90178">
        <w:t>Davanne</w:t>
      </w:r>
      <w:proofErr w:type="spellEnd"/>
      <w:r w:rsidRPr="00D90178">
        <w:t xml:space="preserve">, they were also part of a claim to a rigorist spiritual identity during the persecution of the Jansenist convent. </w:t>
      </w:r>
    </w:p>
    <w:p w:rsidR="00A51E6E" w:rsidRPr="00D90178" w:rsidRDefault="00A51E6E" w:rsidP="00A51E6E">
      <w:pPr>
        <w:pStyle w:val="FootnoteText"/>
        <w:spacing w:line="480" w:lineRule="auto"/>
        <w:ind w:firstLine="720"/>
        <w:jc w:val="both"/>
        <w:rPr>
          <w:rFonts w:cs="Times New Roman"/>
          <w:sz w:val="22"/>
          <w:szCs w:val="22"/>
        </w:rPr>
      </w:pPr>
    </w:p>
    <w:p w:rsidR="00A51E6E" w:rsidRPr="00D90178" w:rsidRDefault="00A51E6E" w:rsidP="00A51E6E">
      <w:pPr>
        <w:spacing w:line="480" w:lineRule="auto"/>
        <w:ind w:firstLine="567"/>
        <w:jc w:val="center"/>
        <w:rPr>
          <w:rFonts w:cs="Times New Roman"/>
          <w:sz w:val="22"/>
          <w:szCs w:val="22"/>
        </w:rPr>
      </w:pPr>
      <w:r w:rsidRPr="00D90178">
        <w:rPr>
          <w:rFonts w:cs="Times New Roman"/>
          <w:sz w:val="22"/>
          <w:szCs w:val="22"/>
        </w:rPr>
        <w:t>*</w:t>
      </w:r>
      <w:r w:rsidR="009501FC" w:rsidRPr="00D90178">
        <w:rPr>
          <w:rFonts w:cs="Times New Roman"/>
          <w:sz w:val="22"/>
          <w:szCs w:val="22"/>
        </w:rPr>
        <w:t xml:space="preserve"> </w:t>
      </w:r>
      <w:r w:rsidRPr="00D90178">
        <w:rPr>
          <w:rFonts w:cs="Times New Roman"/>
          <w:sz w:val="22"/>
          <w:szCs w:val="22"/>
        </w:rPr>
        <w:t>*</w:t>
      </w:r>
      <w:r w:rsidR="009501FC" w:rsidRPr="00D90178">
        <w:rPr>
          <w:rFonts w:cs="Times New Roman"/>
          <w:sz w:val="22"/>
          <w:szCs w:val="22"/>
        </w:rPr>
        <w:t xml:space="preserve"> </w:t>
      </w:r>
      <w:r w:rsidRPr="00D90178">
        <w:rPr>
          <w:rFonts w:cs="Times New Roman"/>
          <w:sz w:val="22"/>
          <w:szCs w:val="22"/>
        </w:rPr>
        <w:t>*</w:t>
      </w:r>
    </w:p>
    <w:p w:rsidR="009501FC" w:rsidRPr="00D90178" w:rsidRDefault="009501FC" w:rsidP="00A51E6E">
      <w:pPr>
        <w:spacing w:line="480" w:lineRule="auto"/>
        <w:ind w:firstLine="567"/>
        <w:jc w:val="center"/>
        <w:rPr>
          <w:rFonts w:cs="Times New Roman"/>
          <w:sz w:val="22"/>
          <w:szCs w:val="22"/>
        </w:rPr>
      </w:pPr>
    </w:p>
    <w:p w:rsidR="00A51E6E" w:rsidRPr="00D90178" w:rsidRDefault="00A51E6E" w:rsidP="009501FC">
      <w:pPr>
        <w:pStyle w:val="SCHfirstpara"/>
      </w:pPr>
      <w:r w:rsidRPr="00D90178">
        <w:t xml:space="preserve">At first glance, the translation of </w:t>
      </w:r>
      <w:proofErr w:type="spellStart"/>
      <w:r w:rsidRPr="00D90178">
        <w:t>Pientia</w:t>
      </w:r>
      <w:r w:rsidR="002130E3">
        <w:t>’s</w:t>
      </w:r>
      <w:proofErr w:type="spellEnd"/>
      <w:r w:rsidR="002130E3">
        <w:t xml:space="preserve"> finger to the chapel at the Château de l</w:t>
      </w:r>
      <w:r w:rsidRPr="00D90178">
        <w:t>a Roche-</w:t>
      </w:r>
      <w:proofErr w:type="spellStart"/>
      <w:r w:rsidRPr="00D90178">
        <w:t>Guyon</w:t>
      </w:r>
      <w:proofErr w:type="spellEnd"/>
      <w:r w:rsidRPr="00D90178">
        <w:t xml:space="preserve"> in December 1654 might seem simply have been a way for the newly reformed monastery at </w:t>
      </w:r>
      <w:proofErr w:type="spellStart"/>
      <w:r w:rsidRPr="00D90178">
        <w:t>Meulan</w:t>
      </w:r>
      <w:proofErr w:type="spellEnd"/>
      <w:r w:rsidRPr="00D90178">
        <w:t xml:space="preserve"> to build links with pious, aristocratic patrons.</w:t>
      </w:r>
      <w:r w:rsidRPr="00D90178">
        <w:rPr>
          <w:rStyle w:val="FootnoteReference"/>
          <w:rFonts w:ascii="Times New Roman" w:hAnsi="Times New Roman"/>
          <w:sz w:val="22"/>
        </w:rPr>
        <w:footnoteReference w:id="63"/>
      </w:r>
      <w:r w:rsidRPr="00D90178">
        <w:t xml:space="preserve"> Read alongside the scholarship of local priest and prior Nicolas </w:t>
      </w:r>
      <w:proofErr w:type="spellStart"/>
      <w:r w:rsidRPr="00D90178">
        <w:t>Davanne</w:t>
      </w:r>
      <w:proofErr w:type="spellEnd"/>
      <w:r w:rsidRPr="00D90178">
        <w:t xml:space="preserve">, however, a denser picture emerges. This analysis of relic translation has shown through this case study of </w:t>
      </w:r>
      <w:proofErr w:type="spellStart"/>
      <w:r w:rsidRPr="00D90178">
        <w:t>Pientia’s</w:t>
      </w:r>
      <w:proofErr w:type="spellEnd"/>
      <w:r w:rsidRPr="00D90178">
        <w:t xml:space="preserve"> finger how the </w:t>
      </w:r>
      <w:r w:rsidRPr="00D90178">
        <w:lastRenderedPageBreak/>
        <w:t xml:space="preserve">movement of relics was intimately connected to the writing of a local, sacred history in the face of Tridentine standardization. </w:t>
      </w:r>
      <w:proofErr w:type="spellStart"/>
      <w:r w:rsidRPr="00D90178">
        <w:t>Davanne</w:t>
      </w:r>
      <w:proofErr w:type="spellEnd"/>
      <w:r w:rsidRPr="00D90178">
        <w:t xml:space="preserve"> may have been responding directly to challenges to local devotional culture posed by </w:t>
      </w:r>
      <w:r w:rsidR="002130E3">
        <w:t>the reform to the Rouen b</w:t>
      </w:r>
      <w:r w:rsidRPr="00D90178">
        <w:t xml:space="preserve">reviary; </w:t>
      </w:r>
      <w:r w:rsidR="002130E3" w:rsidRPr="002130E3">
        <w:t xml:space="preserve">almost certainly </w:t>
      </w:r>
      <w:r w:rsidRPr="00D90178">
        <w:t>he was also writing to celebrate the liturgical traditions associated with the monastery he had successfully reformed. Viewed in this way, the martyr in the subterranean crypts and chapel at La Roche-</w:t>
      </w:r>
      <w:proofErr w:type="spellStart"/>
      <w:r w:rsidRPr="00D90178">
        <w:t>Guyon</w:t>
      </w:r>
      <w:proofErr w:type="spellEnd"/>
      <w:r w:rsidRPr="00D90178">
        <w:t xml:space="preserve"> became an extension of the Roman catacombs. </w:t>
      </w:r>
    </w:p>
    <w:p w:rsidR="003F786F" w:rsidRPr="00D90178" w:rsidRDefault="00A51E6E" w:rsidP="009501FC">
      <w:pPr>
        <w:pStyle w:val="SCHfollowingpara"/>
      </w:pPr>
      <w:r w:rsidRPr="00D90178">
        <w:t xml:space="preserve">The case of </w:t>
      </w:r>
      <w:proofErr w:type="spellStart"/>
      <w:r w:rsidRPr="00D90178">
        <w:t>Pientia</w:t>
      </w:r>
      <w:proofErr w:type="spellEnd"/>
      <w:r w:rsidRPr="00D90178">
        <w:t xml:space="preserve"> upholds much of the recent scholarship on saints, relics and sacred history in Counter-Reformation Europe discussed in this article. Yet what also makes the case quite unique is the way the movement of these relics was intimately connected to their continual reinvention since the composition of the eleventh-century </w:t>
      </w:r>
      <w:proofErr w:type="spellStart"/>
      <w:r w:rsidRPr="00D90178">
        <w:rPr>
          <w:i/>
        </w:rPr>
        <w:t>Passio</w:t>
      </w:r>
      <w:proofErr w:type="spellEnd"/>
      <w:r w:rsidRPr="00D90178">
        <w:t xml:space="preserve">. Elizabeth Robertson and Jennifer </w:t>
      </w:r>
      <w:proofErr w:type="spellStart"/>
      <w:r w:rsidRPr="00D90178">
        <w:t>Jahner</w:t>
      </w:r>
      <w:proofErr w:type="spellEnd"/>
      <w:r w:rsidRPr="00D90178">
        <w:t xml:space="preserve"> recently noted how the relocation of relics into their ‘proper homes’ could often be an ideological endeavour.</w:t>
      </w:r>
      <w:r w:rsidRPr="00D90178">
        <w:rPr>
          <w:rStyle w:val="FootnoteReference"/>
          <w:rFonts w:ascii="Times New Roman" w:hAnsi="Times New Roman"/>
          <w:sz w:val="22"/>
        </w:rPr>
        <w:footnoteReference w:id="64"/>
      </w:r>
      <w:r w:rsidRPr="00D90178">
        <w:t xml:space="preserve"> This observation seems particular apt here. The return of even a small fragment of </w:t>
      </w:r>
      <w:proofErr w:type="spellStart"/>
      <w:r w:rsidRPr="00D90178">
        <w:t>Pientia’s</w:t>
      </w:r>
      <w:proofErr w:type="spellEnd"/>
      <w:r w:rsidRPr="00D90178">
        <w:t xml:space="preserve"> bones to La Roche-</w:t>
      </w:r>
      <w:proofErr w:type="spellStart"/>
      <w:r w:rsidRPr="00D90178">
        <w:t>Guyon</w:t>
      </w:r>
      <w:proofErr w:type="spellEnd"/>
      <w:r w:rsidRPr="00D90178">
        <w:t xml:space="preserve"> – the site of her conversion an</w:t>
      </w:r>
      <w:r w:rsidR="00A97D22">
        <w:t xml:space="preserve">d martyrdom – in many ways </w:t>
      </w:r>
      <w:r w:rsidRPr="00D90178">
        <w:t xml:space="preserve">acclaimed </w:t>
      </w:r>
      <w:proofErr w:type="spellStart"/>
      <w:r w:rsidRPr="00D90178">
        <w:t>Davanne’s</w:t>
      </w:r>
      <w:proofErr w:type="spellEnd"/>
      <w:r w:rsidRPr="00D90178">
        <w:t xml:space="preserve"> scholarship and lent further support to the spiritual heritage of the </w:t>
      </w:r>
      <w:proofErr w:type="spellStart"/>
      <w:r w:rsidRPr="00D90178">
        <w:t>Vexin</w:t>
      </w:r>
      <w:proofErr w:type="spellEnd"/>
      <w:r w:rsidRPr="00D90178">
        <w:t>, as well as being an important marker of the spiritual identity of its new aristocratic hosts.</w:t>
      </w:r>
    </w:p>
    <w:sectPr w:rsidR="003F786F" w:rsidRPr="00D90178" w:rsidSect="0008676C">
      <w:headerReference w:type="default" r:id="rId9"/>
      <w:footerReference w:type="even" r:id="rId10"/>
      <w:footerReference w:type="default" r:id="rId11"/>
      <w:pgSz w:w="11900" w:h="1682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5B" w:rsidRDefault="00472C5B" w:rsidP="0060143F">
      <w:r>
        <w:separator/>
      </w:r>
    </w:p>
  </w:endnote>
  <w:endnote w:type="continuationSeparator" w:id="0">
    <w:p w:rsidR="00472C5B" w:rsidRDefault="00472C5B" w:rsidP="0060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E0" w:rsidRDefault="00C543E0" w:rsidP="00756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43E0" w:rsidRDefault="00C54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E0" w:rsidRDefault="00C543E0" w:rsidP="00756EFE">
    <w:pPr>
      <w:pStyle w:val="Footer"/>
      <w:framePr w:wrap="around" w:vAnchor="text" w:hAnchor="margin" w:xAlign="center" w:y="1"/>
      <w:rPr>
        <w:rStyle w:val="PageNumber"/>
      </w:rPr>
    </w:pPr>
  </w:p>
  <w:p w:rsidR="00C543E0" w:rsidRPr="003F786F" w:rsidRDefault="00C543E0">
    <w:pPr>
      <w:pStyle w:val="Footer"/>
      <w:rPr>
        <w:sz w:val="20"/>
        <w:szCs w:val="20"/>
      </w:rPr>
    </w:pPr>
    <w:r>
      <w:rPr>
        <w:sz w:val="20"/>
        <w:szCs w:val="20"/>
      </w:rPr>
      <w:tab/>
    </w:r>
    <w:r>
      <w:rP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5B" w:rsidRDefault="00472C5B" w:rsidP="0060143F">
      <w:r>
        <w:separator/>
      </w:r>
    </w:p>
  </w:footnote>
  <w:footnote w:type="continuationSeparator" w:id="0">
    <w:p w:rsidR="00472C5B" w:rsidRDefault="00472C5B" w:rsidP="0060143F">
      <w:r>
        <w:continuationSeparator/>
      </w:r>
    </w:p>
  </w:footnote>
  <w:footnote w:id="1">
    <w:p w:rsidR="00C543E0" w:rsidRPr="00DA5C70" w:rsidRDefault="00C543E0" w:rsidP="00A51E6E">
      <w:pPr>
        <w:pStyle w:val="SCHfootnote"/>
      </w:pPr>
      <w:r w:rsidRPr="00DA5C70">
        <w:rPr>
          <w:rStyle w:val="FootnoteReference"/>
        </w:rPr>
        <w:footnoteRef/>
      </w:r>
      <w:r>
        <w:t xml:space="preserve"> </w:t>
      </w:r>
      <w:r w:rsidRPr="00DA5C70">
        <w:t>The</w:t>
      </w:r>
      <w:r>
        <w:t xml:space="preserve"> word used in the document was </w:t>
      </w:r>
      <w:r w:rsidRPr="00A519FD">
        <w:rPr>
          <w:i/>
        </w:rPr>
        <w:t>chasse</w:t>
      </w:r>
      <w:r>
        <w:t>,</w:t>
      </w:r>
      <w:r w:rsidRPr="00DA5C70">
        <w:t xml:space="preserve"> an old French wor</w:t>
      </w:r>
      <w:r>
        <w:t xml:space="preserve">d for reliquary, deriving from </w:t>
      </w:r>
      <w:proofErr w:type="spellStart"/>
      <w:r w:rsidRPr="00A519FD">
        <w:rPr>
          <w:i/>
        </w:rPr>
        <w:t>capsa</w:t>
      </w:r>
      <w:proofErr w:type="spellEnd"/>
      <w:r>
        <w:t>, Latin for ‘box’ or ‘c</w:t>
      </w:r>
      <w:r w:rsidRPr="00DA5C70">
        <w:t>offer</w:t>
      </w:r>
      <w:r>
        <w:t xml:space="preserve">’: </w:t>
      </w:r>
      <w:r w:rsidRPr="00DA5C70">
        <w:t xml:space="preserve">Robert Bartlett, </w:t>
      </w:r>
      <w:r>
        <w:rPr>
          <w:i/>
        </w:rPr>
        <w:t>Why can the Dead do s</w:t>
      </w:r>
      <w:r w:rsidRPr="00DA5C70">
        <w:rPr>
          <w:i/>
        </w:rPr>
        <w:t xml:space="preserve">uch Great Things? </w:t>
      </w:r>
      <w:proofErr w:type="gramStart"/>
      <w:r w:rsidRPr="00DA5C70">
        <w:rPr>
          <w:i/>
        </w:rPr>
        <w:t>Saints and Worshippers from the Martyrs to the Reformation</w:t>
      </w:r>
      <w:r w:rsidRPr="00DA5C70">
        <w:t xml:space="preserve"> (Princeton</w:t>
      </w:r>
      <w:r>
        <w:t>, NJ</w:t>
      </w:r>
      <w:r w:rsidRPr="00DA5C70">
        <w:t>, 2013), 264.</w:t>
      </w:r>
      <w:proofErr w:type="gramEnd"/>
      <w:r>
        <w:t xml:space="preserve"> </w:t>
      </w:r>
    </w:p>
  </w:footnote>
  <w:footnote w:id="2">
    <w:p w:rsidR="00C543E0" w:rsidRPr="00DA5C70" w:rsidRDefault="00C543E0" w:rsidP="00A51E6E">
      <w:pPr>
        <w:pStyle w:val="SCHfootnote"/>
        <w:rPr>
          <w:szCs w:val="20"/>
          <w:lang w:val="fr-FR"/>
        </w:rPr>
      </w:pPr>
      <w:r w:rsidRPr="00DA5C70">
        <w:rPr>
          <w:rStyle w:val="FootnoteReference"/>
          <w:szCs w:val="20"/>
        </w:rPr>
        <w:footnoteRef/>
      </w:r>
      <w:r>
        <w:rPr>
          <w:szCs w:val="20"/>
          <w:lang w:val="fr-FR"/>
        </w:rPr>
        <w:t xml:space="preserve"> </w:t>
      </w:r>
      <w:r w:rsidR="00496DDC">
        <w:rPr>
          <w:szCs w:val="20"/>
          <w:lang w:val="fr-FR"/>
        </w:rPr>
        <w:t xml:space="preserve">Cergy-Pontoise, </w:t>
      </w:r>
      <w:r w:rsidRPr="00DA5C70">
        <w:rPr>
          <w:szCs w:val="20"/>
          <w:lang w:val="fr-FR"/>
        </w:rPr>
        <w:t>Archives</w:t>
      </w:r>
      <w:r>
        <w:rPr>
          <w:szCs w:val="20"/>
          <w:lang w:val="fr-FR"/>
        </w:rPr>
        <w:t xml:space="preserve"> départementales du Val d’Oise [</w:t>
      </w:r>
      <w:proofErr w:type="spellStart"/>
      <w:r w:rsidRPr="00DA5C70">
        <w:rPr>
          <w:szCs w:val="20"/>
          <w:lang w:val="fr-FR"/>
        </w:rPr>
        <w:t>hereafter</w:t>
      </w:r>
      <w:proofErr w:type="spellEnd"/>
      <w:r>
        <w:rPr>
          <w:szCs w:val="20"/>
          <w:lang w:val="fr-FR"/>
        </w:rPr>
        <w:t>: ADVO]</w:t>
      </w:r>
      <w:r w:rsidRPr="00DA5C70">
        <w:rPr>
          <w:szCs w:val="20"/>
          <w:lang w:val="fr-FR"/>
        </w:rPr>
        <w:t>, fonds privées, 10 J, 747, ‘R</w:t>
      </w:r>
      <w:r>
        <w:rPr>
          <w:szCs w:val="20"/>
          <w:lang w:val="fr-FR"/>
        </w:rPr>
        <w:t>eliques: certificats et visites</w:t>
      </w:r>
      <w:r w:rsidRPr="00DA5C70">
        <w:rPr>
          <w:szCs w:val="20"/>
          <w:lang w:val="fr-FR"/>
        </w:rPr>
        <w:t>’</w:t>
      </w:r>
      <w:r>
        <w:rPr>
          <w:szCs w:val="20"/>
          <w:lang w:val="fr-FR"/>
        </w:rPr>
        <w:t>.</w:t>
      </w:r>
    </w:p>
  </w:footnote>
  <w:footnote w:id="3">
    <w:p w:rsidR="00C543E0" w:rsidRPr="00535C25" w:rsidRDefault="00C543E0" w:rsidP="00A51E6E">
      <w:pPr>
        <w:pStyle w:val="SCHfootnote"/>
        <w:rPr>
          <w:lang w:val="fr-FR"/>
        </w:rPr>
      </w:pPr>
      <w:r w:rsidRPr="00535C25">
        <w:rPr>
          <w:rStyle w:val="FootnoteReference"/>
        </w:rPr>
        <w:footnoteRef/>
      </w:r>
      <w:r>
        <w:rPr>
          <w:lang w:val="fr-FR"/>
        </w:rPr>
        <w:t xml:space="preserve"> Vincent Gourdon and</w:t>
      </w:r>
      <w:r w:rsidRPr="00535C25">
        <w:rPr>
          <w:lang w:val="fr-FR"/>
        </w:rPr>
        <w:t xml:space="preserve"> Marion </w:t>
      </w:r>
      <w:proofErr w:type="spellStart"/>
      <w:r w:rsidRPr="00535C25">
        <w:rPr>
          <w:lang w:val="fr-FR"/>
        </w:rPr>
        <w:t>Trévisi</w:t>
      </w:r>
      <w:proofErr w:type="spellEnd"/>
      <w:r w:rsidRPr="00535C25">
        <w:rPr>
          <w:lang w:val="fr-FR"/>
        </w:rPr>
        <w:t>, ‘Âge et migrations dans l</w:t>
      </w:r>
      <w:r>
        <w:rPr>
          <w:lang w:val="fr-FR"/>
        </w:rPr>
        <w:t>a France rural traditionnelle. U</w:t>
      </w:r>
      <w:r w:rsidRPr="00535C25">
        <w:rPr>
          <w:lang w:val="fr-FR"/>
        </w:rPr>
        <w:t>ne Etude à part</w:t>
      </w:r>
      <w:r>
        <w:rPr>
          <w:lang w:val="fr-FR"/>
        </w:rPr>
        <w:t>ir de l’an VII à la Roche-Guyon</w:t>
      </w:r>
      <w:r w:rsidRPr="00535C25">
        <w:rPr>
          <w:lang w:val="fr-FR"/>
        </w:rPr>
        <w:t>’</w:t>
      </w:r>
      <w:r>
        <w:rPr>
          <w:lang w:val="fr-FR"/>
        </w:rPr>
        <w:t>,</w:t>
      </w:r>
      <w:r w:rsidRPr="00535C25">
        <w:rPr>
          <w:lang w:val="fr-FR"/>
        </w:rPr>
        <w:t xml:space="preserve"> </w:t>
      </w:r>
      <w:r w:rsidRPr="00535C25">
        <w:rPr>
          <w:i/>
          <w:lang w:val="fr-FR"/>
        </w:rPr>
        <w:t>Histoire, économie, et société</w:t>
      </w:r>
      <w:r w:rsidRPr="00535C25">
        <w:rPr>
          <w:lang w:val="fr-FR"/>
        </w:rPr>
        <w:t xml:space="preserve"> 19</w:t>
      </w:r>
      <w:r>
        <w:rPr>
          <w:lang w:val="fr-FR"/>
        </w:rPr>
        <w:t xml:space="preserve"> (2000), 307–</w:t>
      </w:r>
      <w:r w:rsidRPr="00535C25">
        <w:rPr>
          <w:lang w:val="fr-FR"/>
        </w:rPr>
        <w:t>30, at 311.</w:t>
      </w:r>
      <w:r>
        <w:rPr>
          <w:lang w:val="fr-FR"/>
        </w:rPr>
        <w:t xml:space="preserve"> </w:t>
      </w:r>
      <w:r w:rsidRPr="006356D5">
        <w:t xml:space="preserve">For a recent history of the château and its gardens from the late seventeenth and eighteenth centuries, see Gabriel Wick, </w:t>
      </w:r>
      <w:proofErr w:type="gramStart"/>
      <w:r w:rsidRPr="006356D5">
        <w:rPr>
          <w:i/>
        </w:rPr>
        <w:t>Un</w:t>
      </w:r>
      <w:proofErr w:type="gramEnd"/>
      <w:r w:rsidRPr="006356D5">
        <w:rPr>
          <w:i/>
        </w:rPr>
        <w:t xml:space="preserve"> </w:t>
      </w:r>
      <w:proofErr w:type="spellStart"/>
      <w:r w:rsidRPr="006356D5">
        <w:rPr>
          <w:i/>
        </w:rPr>
        <w:t>Paysage</w:t>
      </w:r>
      <w:proofErr w:type="spellEnd"/>
      <w:r w:rsidRPr="006356D5">
        <w:rPr>
          <w:i/>
        </w:rPr>
        <w:t xml:space="preserve"> des </w:t>
      </w:r>
      <w:proofErr w:type="spellStart"/>
      <w:r w:rsidRPr="006356D5">
        <w:rPr>
          <w:i/>
        </w:rPr>
        <w:t>lumières</w:t>
      </w:r>
      <w:proofErr w:type="spellEnd"/>
      <w:r w:rsidRPr="006356D5">
        <w:rPr>
          <w:i/>
        </w:rPr>
        <w:t xml:space="preserve">. </w:t>
      </w:r>
      <w:r>
        <w:rPr>
          <w:i/>
          <w:lang w:val="fr-FR"/>
        </w:rPr>
        <w:t>Le Jardin Anglais du C</w:t>
      </w:r>
      <w:r w:rsidRPr="00535C25">
        <w:rPr>
          <w:i/>
          <w:lang w:val="fr-FR"/>
        </w:rPr>
        <w:t>hâteau de La Roche-Guyon</w:t>
      </w:r>
      <w:r>
        <w:rPr>
          <w:lang w:val="fr-FR"/>
        </w:rPr>
        <w:t xml:space="preserve"> (Paris</w:t>
      </w:r>
      <w:r w:rsidRPr="00535C25">
        <w:rPr>
          <w:lang w:val="fr-FR"/>
        </w:rPr>
        <w:t xml:space="preserve">, 2014). </w:t>
      </w:r>
    </w:p>
  </w:footnote>
  <w:footnote w:id="4">
    <w:p w:rsidR="00496DDC" w:rsidRPr="004B23EC" w:rsidRDefault="00496DDC" w:rsidP="004B23EC">
      <w:pPr>
        <w:pStyle w:val="FootnoteText"/>
        <w:spacing w:line="480" w:lineRule="auto"/>
        <w:rPr>
          <w:rFonts w:cs="Times New Roman"/>
          <w:sz w:val="20"/>
          <w:szCs w:val="20"/>
        </w:rPr>
      </w:pPr>
      <w:r w:rsidRPr="004B23EC">
        <w:rPr>
          <w:rStyle w:val="FootnoteReference"/>
          <w:rFonts w:ascii="Times New Roman" w:hAnsi="Times New Roman" w:cs="Times New Roman"/>
          <w:szCs w:val="20"/>
        </w:rPr>
        <w:footnoteRef/>
      </w:r>
      <w:r w:rsidRPr="004B23EC">
        <w:rPr>
          <w:rFonts w:cs="Times New Roman"/>
          <w:sz w:val="20"/>
          <w:szCs w:val="20"/>
        </w:rPr>
        <w:t xml:space="preserve">  For a recent history of the convent and the Jansenist debate, see Daniella </w:t>
      </w:r>
      <w:proofErr w:type="spellStart"/>
      <w:r w:rsidRPr="004B23EC">
        <w:rPr>
          <w:rFonts w:cs="Times New Roman"/>
          <w:sz w:val="20"/>
          <w:szCs w:val="20"/>
        </w:rPr>
        <w:t>Kostroun</w:t>
      </w:r>
      <w:proofErr w:type="spellEnd"/>
      <w:r w:rsidRPr="004B23EC">
        <w:rPr>
          <w:rFonts w:cs="Times New Roman"/>
          <w:sz w:val="20"/>
          <w:szCs w:val="20"/>
        </w:rPr>
        <w:t>, Feminism, Absolutism and Jansenism: Louis XIV and the Port-Royal Nuns (Cambridge: Cambridge University Press, 2011).</w:t>
      </w:r>
    </w:p>
    <w:p w:rsidR="004B23EC" w:rsidRPr="004B23EC" w:rsidRDefault="004B23EC" w:rsidP="004B23EC">
      <w:pPr>
        <w:pStyle w:val="FootnoteText"/>
        <w:spacing w:line="480" w:lineRule="auto"/>
        <w:rPr>
          <w:rFonts w:cs="Times New Roman"/>
          <w:sz w:val="20"/>
          <w:szCs w:val="20"/>
        </w:rPr>
      </w:pPr>
    </w:p>
  </w:footnote>
  <w:footnote w:id="5">
    <w:p w:rsidR="00C543E0" w:rsidRPr="004B23EC" w:rsidRDefault="00C543E0" w:rsidP="004B23EC">
      <w:pPr>
        <w:pStyle w:val="SCHfootnote"/>
        <w:rPr>
          <w:szCs w:val="20"/>
        </w:rPr>
      </w:pPr>
      <w:r w:rsidRPr="004B23EC">
        <w:rPr>
          <w:rStyle w:val="FootnoteReference"/>
          <w:rFonts w:ascii="Times New Roman" w:hAnsi="Times New Roman"/>
          <w:szCs w:val="20"/>
        </w:rPr>
        <w:footnoteRef/>
      </w:r>
      <w:r w:rsidRPr="004B23EC">
        <w:rPr>
          <w:szCs w:val="20"/>
        </w:rPr>
        <w:t xml:space="preserve"> Robin Briggs, </w:t>
      </w:r>
      <w:r w:rsidRPr="004B23EC">
        <w:rPr>
          <w:i/>
          <w:szCs w:val="20"/>
        </w:rPr>
        <w:t xml:space="preserve">Communities of Belief: Cultural and Social Tension in Early Modern France </w:t>
      </w:r>
      <w:r w:rsidRPr="004B23EC">
        <w:rPr>
          <w:szCs w:val="20"/>
        </w:rPr>
        <w:t xml:space="preserve">(Oxford, 1989), 339; Jennifer Hillman, </w:t>
      </w:r>
      <w:r w:rsidRPr="004B23EC">
        <w:rPr>
          <w:i/>
          <w:szCs w:val="20"/>
        </w:rPr>
        <w:t>Female Piety and the Catholic Reformation in France</w:t>
      </w:r>
      <w:r w:rsidRPr="004B23EC">
        <w:rPr>
          <w:szCs w:val="20"/>
        </w:rPr>
        <w:t xml:space="preserve"> (London, 2014), 2–3. </w:t>
      </w:r>
    </w:p>
  </w:footnote>
  <w:footnote w:id="6">
    <w:p w:rsidR="00C543E0" w:rsidRPr="00544EF4" w:rsidRDefault="00C543E0" w:rsidP="00A51E6E">
      <w:pPr>
        <w:pStyle w:val="SCHfootnote"/>
      </w:pPr>
      <w:r w:rsidRPr="009F704E">
        <w:rPr>
          <w:rStyle w:val="FootnoteReference"/>
          <w:szCs w:val="20"/>
        </w:rPr>
        <w:footnoteRef/>
      </w:r>
      <w:r>
        <w:rPr>
          <w:szCs w:val="20"/>
        </w:rPr>
        <w:t xml:space="preserve"> Robert. </w:t>
      </w:r>
      <w:r w:rsidRPr="009F704E">
        <w:rPr>
          <w:szCs w:val="20"/>
        </w:rPr>
        <w:t xml:space="preserve">J. </w:t>
      </w:r>
      <w:proofErr w:type="spellStart"/>
      <w:r w:rsidRPr="009F704E">
        <w:rPr>
          <w:szCs w:val="20"/>
        </w:rPr>
        <w:t>Kalas</w:t>
      </w:r>
      <w:proofErr w:type="spellEnd"/>
      <w:r w:rsidRPr="009F704E">
        <w:rPr>
          <w:szCs w:val="20"/>
        </w:rPr>
        <w:t xml:space="preserve">, </w:t>
      </w:r>
      <w:r w:rsidRPr="009F704E">
        <w:rPr>
          <w:rFonts w:eastAsia="Times New Roman"/>
          <w:szCs w:val="20"/>
          <w:lang w:eastAsia="en-GB"/>
        </w:rPr>
        <w:t>‘</w:t>
      </w:r>
      <w:r w:rsidRPr="00273FF6">
        <w:rPr>
          <w:rFonts w:eastAsia="Times New Roman"/>
          <w:szCs w:val="20"/>
          <w:lang w:eastAsia="en-GB"/>
        </w:rPr>
        <w:t xml:space="preserve">Marriage, </w:t>
      </w:r>
      <w:proofErr w:type="spellStart"/>
      <w:r w:rsidRPr="00273FF6">
        <w:rPr>
          <w:rFonts w:eastAsia="Times New Roman"/>
          <w:szCs w:val="20"/>
          <w:lang w:eastAsia="en-GB"/>
        </w:rPr>
        <w:t>Clientage</w:t>
      </w:r>
      <w:proofErr w:type="spellEnd"/>
      <w:r w:rsidRPr="00273FF6">
        <w:rPr>
          <w:rFonts w:eastAsia="Times New Roman"/>
          <w:szCs w:val="20"/>
          <w:lang w:eastAsia="en-GB"/>
        </w:rPr>
        <w:t xml:space="preserve">, Office Holding, and the Advancement of the Early Modern French Nobility: The </w:t>
      </w:r>
      <w:proofErr w:type="spellStart"/>
      <w:r w:rsidRPr="00273FF6">
        <w:rPr>
          <w:rFonts w:eastAsia="Times New Roman"/>
          <w:szCs w:val="20"/>
          <w:lang w:eastAsia="en-GB"/>
        </w:rPr>
        <w:t>Noailles</w:t>
      </w:r>
      <w:proofErr w:type="spellEnd"/>
      <w:r w:rsidRPr="00273FF6">
        <w:rPr>
          <w:rFonts w:eastAsia="Times New Roman"/>
          <w:szCs w:val="20"/>
          <w:lang w:eastAsia="en-GB"/>
        </w:rPr>
        <w:t xml:space="preserve"> Family of </w:t>
      </w:r>
      <w:proofErr w:type="spellStart"/>
      <w:r w:rsidRPr="00273FF6">
        <w:rPr>
          <w:rFonts w:eastAsia="Times New Roman"/>
          <w:szCs w:val="20"/>
          <w:lang w:eastAsia="en-GB"/>
        </w:rPr>
        <w:t>Limousin</w:t>
      </w:r>
      <w:proofErr w:type="spellEnd"/>
      <w:r>
        <w:rPr>
          <w:rFonts w:eastAsia="Times New Roman"/>
          <w:szCs w:val="20"/>
          <w:lang w:eastAsia="en-GB"/>
        </w:rPr>
        <w:t>’,</w:t>
      </w:r>
      <w:r w:rsidRPr="009F704E">
        <w:rPr>
          <w:rFonts w:eastAsia="Times New Roman"/>
          <w:szCs w:val="20"/>
          <w:lang w:eastAsia="en-GB"/>
        </w:rPr>
        <w:t xml:space="preserve"> </w:t>
      </w:r>
      <w:r>
        <w:rPr>
          <w:rFonts w:eastAsia="Times New Roman"/>
          <w:i/>
          <w:iCs/>
          <w:szCs w:val="20"/>
          <w:lang w:eastAsia="en-GB"/>
        </w:rPr>
        <w:t>SCJ</w:t>
      </w:r>
      <w:r>
        <w:rPr>
          <w:rFonts w:eastAsia="Times New Roman"/>
          <w:szCs w:val="20"/>
          <w:lang w:eastAsia="en-GB"/>
        </w:rPr>
        <w:t xml:space="preserve"> 27 (</w:t>
      </w:r>
      <w:r w:rsidRPr="00273FF6">
        <w:rPr>
          <w:rFonts w:eastAsia="Times New Roman"/>
          <w:szCs w:val="20"/>
          <w:lang w:eastAsia="en-GB"/>
        </w:rPr>
        <w:t>1996)</w:t>
      </w:r>
      <w:r>
        <w:rPr>
          <w:rFonts w:eastAsia="Times New Roman"/>
          <w:szCs w:val="20"/>
          <w:lang w:eastAsia="en-GB"/>
        </w:rPr>
        <w:t>,</w:t>
      </w:r>
      <w:r w:rsidRPr="009F704E">
        <w:rPr>
          <w:rFonts w:eastAsia="Times New Roman"/>
          <w:szCs w:val="20"/>
          <w:lang w:eastAsia="en-GB"/>
        </w:rPr>
        <w:t xml:space="preserve"> </w:t>
      </w:r>
      <w:r>
        <w:rPr>
          <w:rFonts w:eastAsia="Times New Roman"/>
          <w:szCs w:val="20"/>
          <w:lang w:eastAsia="en-GB"/>
        </w:rPr>
        <w:t xml:space="preserve">365–83, at </w:t>
      </w:r>
      <w:r w:rsidRPr="009F704E">
        <w:rPr>
          <w:szCs w:val="20"/>
        </w:rPr>
        <w:t>37</w:t>
      </w:r>
      <w:r>
        <w:rPr>
          <w:szCs w:val="20"/>
        </w:rPr>
        <w:t xml:space="preserve">9. </w:t>
      </w:r>
    </w:p>
  </w:footnote>
  <w:footnote w:id="7">
    <w:p w:rsidR="00C543E0" w:rsidRPr="00C620FD" w:rsidRDefault="00C543E0" w:rsidP="00A51E6E">
      <w:pPr>
        <w:pStyle w:val="SCHfootnote"/>
        <w:rPr>
          <w:szCs w:val="20"/>
        </w:rPr>
      </w:pPr>
      <w:r w:rsidRPr="00C620FD">
        <w:rPr>
          <w:rStyle w:val="FootnoteReference"/>
          <w:szCs w:val="20"/>
        </w:rPr>
        <w:footnoteRef/>
      </w:r>
      <w:r>
        <w:rPr>
          <w:szCs w:val="20"/>
          <w:lang w:val="fr-FR"/>
        </w:rPr>
        <w:t xml:space="preserve"> </w:t>
      </w:r>
      <w:r w:rsidRPr="00C620FD">
        <w:rPr>
          <w:szCs w:val="20"/>
          <w:lang w:val="fr-FR"/>
        </w:rPr>
        <w:t xml:space="preserve">Nicolas </w:t>
      </w:r>
      <w:proofErr w:type="spellStart"/>
      <w:r w:rsidRPr="00C620FD">
        <w:rPr>
          <w:szCs w:val="20"/>
          <w:lang w:val="fr-FR"/>
        </w:rPr>
        <w:t>Dava</w:t>
      </w:r>
      <w:r>
        <w:rPr>
          <w:szCs w:val="20"/>
          <w:lang w:val="fr-FR"/>
        </w:rPr>
        <w:t>n</w:t>
      </w:r>
      <w:r w:rsidRPr="00C620FD">
        <w:rPr>
          <w:szCs w:val="20"/>
          <w:lang w:val="fr-FR"/>
        </w:rPr>
        <w:t>ne</w:t>
      </w:r>
      <w:proofErr w:type="spellEnd"/>
      <w:r w:rsidRPr="00C620FD">
        <w:rPr>
          <w:szCs w:val="20"/>
          <w:lang w:val="fr-FR"/>
        </w:rPr>
        <w:t xml:space="preserve">, </w:t>
      </w:r>
      <w:r w:rsidRPr="00C620FD">
        <w:rPr>
          <w:i/>
          <w:szCs w:val="20"/>
          <w:lang w:val="fr-FR"/>
        </w:rPr>
        <w:t xml:space="preserve">La vie et martyre de </w:t>
      </w:r>
      <w:proofErr w:type="spellStart"/>
      <w:r w:rsidRPr="00C620FD">
        <w:rPr>
          <w:i/>
          <w:szCs w:val="20"/>
          <w:lang w:val="fr-FR"/>
        </w:rPr>
        <w:t>sainct</w:t>
      </w:r>
      <w:proofErr w:type="spellEnd"/>
      <w:r w:rsidR="004B23EC">
        <w:rPr>
          <w:i/>
          <w:szCs w:val="20"/>
          <w:lang w:val="fr-FR"/>
        </w:rPr>
        <w:t xml:space="preserve"> </w:t>
      </w:r>
      <w:proofErr w:type="spellStart"/>
      <w:r w:rsidR="004B23EC">
        <w:rPr>
          <w:i/>
          <w:szCs w:val="20"/>
          <w:lang w:val="fr-FR"/>
        </w:rPr>
        <w:t>Nigaise</w:t>
      </w:r>
      <w:proofErr w:type="spellEnd"/>
      <w:r w:rsidR="004B23EC">
        <w:rPr>
          <w:i/>
          <w:szCs w:val="20"/>
          <w:lang w:val="fr-FR"/>
        </w:rPr>
        <w:t xml:space="preserve"> </w:t>
      </w:r>
      <w:r w:rsidRPr="00C620FD">
        <w:rPr>
          <w:i/>
          <w:szCs w:val="20"/>
          <w:lang w:val="fr-FR"/>
        </w:rPr>
        <w:t xml:space="preserve">premier </w:t>
      </w:r>
      <w:proofErr w:type="spellStart"/>
      <w:r w:rsidRPr="00C620FD">
        <w:rPr>
          <w:i/>
          <w:szCs w:val="20"/>
          <w:lang w:val="fr-FR"/>
        </w:rPr>
        <w:t>archevesque</w:t>
      </w:r>
      <w:proofErr w:type="spellEnd"/>
      <w:r w:rsidRPr="00C620FD">
        <w:rPr>
          <w:i/>
          <w:szCs w:val="20"/>
          <w:lang w:val="fr-FR"/>
        </w:rPr>
        <w:t xml:space="preserve"> de </w:t>
      </w:r>
      <w:proofErr w:type="spellStart"/>
      <w:r w:rsidRPr="00C620FD">
        <w:rPr>
          <w:i/>
          <w:szCs w:val="20"/>
          <w:lang w:val="fr-FR"/>
        </w:rPr>
        <w:t>Roüen</w:t>
      </w:r>
      <w:proofErr w:type="spellEnd"/>
      <w:r w:rsidRPr="00C620FD">
        <w:rPr>
          <w:i/>
          <w:szCs w:val="20"/>
          <w:lang w:val="fr-FR"/>
        </w:rPr>
        <w:t xml:space="preserve">, S. </w:t>
      </w:r>
      <w:proofErr w:type="spellStart"/>
      <w:r w:rsidRPr="00C620FD">
        <w:rPr>
          <w:i/>
          <w:szCs w:val="20"/>
          <w:lang w:val="fr-FR"/>
        </w:rPr>
        <w:t>Quirin</w:t>
      </w:r>
      <w:proofErr w:type="spellEnd"/>
      <w:r w:rsidRPr="00C620FD">
        <w:rPr>
          <w:i/>
          <w:szCs w:val="20"/>
          <w:lang w:val="fr-FR"/>
        </w:rPr>
        <w:t xml:space="preserve">, </w:t>
      </w:r>
      <w:proofErr w:type="spellStart"/>
      <w:r w:rsidRPr="00C620FD">
        <w:rPr>
          <w:i/>
          <w:szCs w:val="20"/>
          <w:lang w:val="fr-FR"/>
        </w:rPr>
        <w:t>prestre</w:t>
      </w:r>
      <w:proofErr w:type="spellEnd"/>
      <w:r w:rsidRPr="00C620FD">
        <w:rPr>
          <w:i/>
          <w:szCs w:val="20"/>
          <w:lang w:val="fr-FR"/>
        </w:rPr>
        <w:t xml:space="preserve">, &amp; S. </w:t>
      </w:r>
      <w:proofErr w:type="spellStart"/>
      <w:r w:rsidRPr="00C620FD">
        <w:rPr>
          <w:i/>
          <w:szCs w:val="20"/>
          <w:lang w:val="fr-FR"/>
        </w:rPr>
        <w:t>Scuviculle</w:t>
      </w:r>
      <w:proofErr w:type="spellEnd"/>
      <w:r w:rsidRPr="00C620FD">
        <w:rPr>
          <w:i/>
          <w:szCs w:val="20"/>
          <w:lang w:val="fr-FR"/>
        </w:rPr>
        <w:t xml:space="preserve"> Diacre ses compagnons, &amp; de sainte </w:t>
      </w:r>
      <w:proofErr w:type="spellStart"/>
      <w:r w:rsidRPr="00C620FD">
        <w:rPr>
          <w:i/>
          <w:szCs w:val="20"/>
          <w:lang w:val="fr-FR"/>
        </w:rPr>
        <w:t>Pience</w:t>
      </w:r>
      <w:proofErr w:type="spellEnd"/>
      <w:r w:rsidRPr="00C620FD">
        <w:rPr>
          <w:i/>
          <w:szCs w:val="20"/>
          <w:lang w:val="fr-FR"/>
        </w:rPr>
        <w:t xml:space="preserve">, jadis dame de La </w:t>
      </w:r>
      <w:proofErr w:type="spellStart"/>
      <w:r w:rsidRPr="00C620FD">
        <w:rPr>
          <w:i/>
          <w:szCs w:val="20"/>
          <w:lang w:val="fr-FR"/>
        </w:rPr>
        <w:t>Rocheguyon</w:t>
      </w:r>
      <w:proofErr w:type="spellEnd"/>
      <w:r w:rsidRPr="00C620FD">
        <w:rPr>
          <w:i/>
          <w:szCs w:val="20"/>
          <w:lang w:val="fr-FR"/>
        </w:rPr>
        <w:t xml:space="preserve">; ensemble le recueil de la Translation de leurs </w:t>
      </w:r>
      <w:proofErr w:type="spellStart"/>
      <w:r w:rsidRPr="00C620FD">
        <w:rPr>
          <w:i/>
          <w:szCs w:val="20"/>
          <w:lang w:val="fr-FR"/>
        </w:rPr>
        <w:t>sainctes</w:t>
      </w:r>
      <w:proofErr w:type="spellEnd"/>
      <w:r w:rsidRPr="00C620FD">
        <w:rPr>
          <w:i/>
          <w:szCs w:val="20"/>
          <w:lang w:val="fr-FR"/>
        </w:rPr>
        <w:t xml:space="preserve"> reliques, et fondation du prieuré Saint</w:t>
      </w:r>
      <w:r w:rsidR="004B23EC">
        <w:rPr>
          <w:i/>
          <w:szCs w:val="20"/>
          <w:lang w:val="fr-FR"/>
        </w:rPr>
        <w:t xml:space="preserve"> </w:t>
      </w:r>
      <w:proofErr w:type="spellStart"/>
      <w:r w:rsidR="004B23EC">
        <w:rPr>
          <w:i/>
          <w:szCs w:val="20"/>
          <w:lang w:val="fr-FR"/>
        </w:rPr>
        <w:t>Nigaise</w:t>
      </w:r>
      <w:proofErr w:type="spellEnd"/>
      <w:r w:rsidRPr="00C620FD">
        <w:rPr>
          <w:i/>
          <w:szCs w:val="20"/>
          <w:lang w:val="fr-FR"/>
        </w:rPr>
        <w:t xml:space="preserve"> au </w:t>
      </w:r>
      <w:r>
        <w:rPr>
          <w:i/>
          <w:szCs w:val="20"/>
          <w:lang w:val="fr-FR"/>
        </w:rPr>
        <w:t>fort de Meulent ou ils reposent</w:t>
      </w:r>
      <w:r>
        <w:rPr>
          <w:szCs w:val="20"/>
          <w:lang w:val="fr-FR"/>
        </w:rPr>
        <w:t xml:space="preserve"> (Rouen, 1627). </w:t>
      </w:r>
      <w:r w:rsidRPr="00C620FD">
        <w:rPr>
          <w:szCs w:val="20"/>
        </w:rPr>
        <w:t xml:space="preserve">I have also consulted the 1643 </w:t>
      </w:r>
      <w:r>
        <w:rPr>
          <w:szCs w:val="20"/>
        </w:rPr>
        <w:t>reprint, but t</w:t>
      </w:r>
      <w:r w:rsidRPr="00C620FD">
        <w:rPr>
          <w:szCs w:val="20"/>
        </w:rPr>
        <w:t xml:space="preserve">hroughout this paper, I cite the 1627 edition. </w:t>
      </w:r>
    </w:p>
  </w:footnote>
  <w:footnote w:id="8">
    <w:p w:rsidR="00C543E0" w:rsidRPr="00852E8E" w:rsidRDefault="00C543E0" w:rsidP="00A51E6E">
      <w:pPr>
        <w:pStyle w:val="SCHfootnote"/>
        <w:rPr>
          <w:lang w:val="fr-FR"/>
        </w:rPr>
      </w:pPr>
      <w:r w:rsidRPr="00C620FD">
        <w:rPr>
          <w:rStyle w:val="FootnoteReference"/>
        </w:rPr>
        <w:footnoteRef/>
      </w:r>
      <w:r>
        <w:rPr>
          <w:lang w:val="fr-FR"/>
        </w:rPr>
        <w:t xml:space="preserve"> </w:t>
      </w:r>
      <w:r w:rsidRPr="00C620FD">
        <w:rPr>
          <w:lang w:val="fr-FR"/>
        </w:rPr>
        <w:t xml:space="preserve">Nicolas </w:t>
      </w:r>
      <w:proofErr w:type="spellStart"/>
      <w:r w:rsidRPr="00C620FD">
        <w:rPr>
          <w:lang w:val="fr-FR"/>
        </w:rPr>
        <w:t>Davanne</w:t>
      </w:r>
      <w:proofErr w:type="spellEnd"/>
      <w:r w:rsidRPr="00C620FD">
        <w:rPr>
          <w:lang w:val="fr-FR"/>
        </w:rPr>
        <w:t xml:space="preserve">, </w:t>
      </w:r>
      <w:r w:rsidRPr="00CF5C45">
        <w:rPr>
          <w:i/>
          <w:lang w:val="fr-FR"/>
        </w:rPr>
        <w:t xml:space="preserve">Recueil d’actes et </w:t>
      </w:r>
      <w:proofErr w:type="spellStart"/>
      <w:r w:rsidRPr="00CF5C45">
        <w:rPr>
          <w:i/>
          <w:lang w:val="fr-FR"/>
        </w:rPr>
        <w:t>contracts</w:t>
      </w:r>
      <w:proofErr w:type="spellEnd"/>
      <w:r w:rsidRPr="00CF5C45">
        <w:rPr>
          <w:i/>
          <w:lang w:val="fr-FR"/>
        </w:rPr>
        <w:t xml:space="preserve">, </w:t>
      </w:r>
      <w:proofErr w:type="spellStart"/>
      <w:r w:rsidRPr="00CF5C45">
        <w:rPr>
          <w:i/>
          <w:lang w:val="fr-FR"/>
        </w:rPr>
        <w:t>faicts</w:t>
      </w:r>
      <w:proofErr w:type="spellEnd"/>
      <w:r w:rsidRPr="00CF5C45">
        <w:rPr>
          <w:i/>
          <w:lang w:val="fr-FR"/>
        </w:rPr>
        <w:t xml:space="preserve"> par M Nicolas </w:t>
      </w:r>
      <w:proofErr w:type="spellStart"/>
      <w:r w:rsidRPr="00CF5C45">
        <w:rPr>
          <w:i/>
          <w:lang w:val="fr-FR"/>
        </w:rPr>
        <w:t>Davanne</w:t>
      </w:r>
      <w:proofErr w:type="spellEnd"/>
      <w:r w:rsidRPr="00CF5C45">
        <w:rPr>
          <w:i/>
          <w:lang w:val="fr-FR"/>
        </w:rPr>
        <w:t xml:space="preserve">, </w:t>
      </w:r>
      <w:proofErr w:type="spellStart"/>
      <w:r w:rsidRPr="00CF5C45">
        <w:rPr>
          <w:i/>
          <w:lang w:val="fr-FR"/>
        </w:rPr>
        <w:t>prestre</w:t>
      </w:r>
      <w:proofErr w:type="spellEnd"/>
      <w:r w:rsidRPr="00CF5C45">
        <w:rPr>
          <w:i/>
          <w:lang w:val="fr-FR"/>
        </w:rPr>
        <w:t xml:space="preserve"> ancien prieur du prieuré </w:t>
      </w:r>
      <w:proofErr w:type="spellStart"/>
      <w:r w:rsidRPr="00CF5C45">
        <w:rPr>
          <w:i/>
          <w:lang w:val="fr-FR"/>
        </w:rPr>
        <w:t>S.</w:t>
      </w:r>
      <w:r w:rsidR="004B23EC">
        <w:rPr>
          <w:i/>
          <w:lang w:val="fr-FR"/>
        </w:rPr>
        <w:t>Nigaise</w:t>
      </w:r>
      <w:proofErr w:type="spellEnd"/>
      <w:r w:rsidR="004B23EC">
        <w:rPr>
          <w:i/>
          <w:lang w:val="fr-FR"/>
        </w:rPr>
        <w:t xml:space="preserve"> a</w:t>
      </w:r>
      <w:r w:rsidRPr="00CF5C45">
        <w:rPr>
          <w:i/>
          <w:lang w:val="fr-FR"/>
        </w:rPr>
        <w:t xml:space="preserve">u fort de Meulant; et </w:t>
      </w:r>
      <w:proofErr w:type="spellStart"/>
      <w:r w:rsidRPr="00CF5C45">
        <w:rPr>
          <w:i/>
          <w:lang w:val="fr-FR"/>
        </w:rPr>
        <w:t>encores</w:t>
      </w:r>
      <w:proofErr w:type="spellEnd"/>
      <w:r w:rsidRPr="00CF5C45">
        <w:rPr>
          <w:i/>
          <w:lang w:val="fr-FR"/>
        </w:rPr>
        <w:t xml:space="preserve"> par autres personnes pour fondations &amp; </w:t>
      </w:r>
      <w:proofErr w:type="spellStart"/>
      <w:r w:rsidRPr="00CF5C45">
        <w:rPr>
          <w:i/>
          <w:lang w:val="fr-FR"/>
        </w:rPr>
        <w:t>Decorations</w:t>
      </w:r>
      <w:proofErr w:type="spellEnd"/>
      <w:r w:rsidRPr="00CF5C45">
        <w:rPr>
          <w:i/>
          <w:lang w:val="fr-FR"/>
        </w:rPr>
        <w:t xml:space="preserve"> audit prieuré &amp; ailleurs; avec un </w:t>
      </w:r>
      <w:proofErr w:type="spellStart"/>
      <w:r w:rsidRPr="00CF5C45">
        <w:rPr>
          <w:i/>
          <w:lang w:val="fr-FR"/>
        </w:rPr>
        <w:t>breve</w:t>
      </w:r>
      <w:proofErr w:type="spellEnd"/>
      <w:r w:rsidRPr="00CF5C45">
        <w:rPr>
          <w:i/>
          <w:lang w:val="fr-FR"/>
        </w:rPr>
        <w:t xml:space="preserve"> description dudit prieuré selon son </w:t>
      </w:r>
      <w:proofErr w:type="spellStart"/>
      <w:r w:rsidRPr="00CF5C45">
        <w:rPr>
          <w:i/>
          <w:lang w:val="fr-FR"/>
        </w:rPr>
        <w:t>estat</w:t>
      </w:r>
      <w:proofErr w:type="spellEnd"/>
      <w:r w:rsidRPr="00CF5C45">
        <w:rPr>
          <w:i/>
          <w:lang w:val="fr-FR"/>
        </w:rPr>
        <w:t>, en l’année 1656</w:t>
      </w:r>
      <w:r>
        <w:rPr>
          <w:lang w:val="fr-FR"/>
        </w:rPr>
        <w:t xml:space="preserve"> (Rouen, 1656).</w:t>
      </w:r>
    </w:p>
  </w:footnote>
  <w:footnote w:id="9">
    <w:p w:rsidR="00C543E0" w:rsidRPr="00852E8E" w:rsidRDefault="00C543E0" w:rsidP="00A51E6E">
      <w:pPr>
        <w:pStyle w:val="SCHfootnote"/>
      </w:pPr>
      <w:r w:rsidRPr="00852E8E">
        <w:rPr>
          <w:rStyle w:val="FootnoteReference"/>
        </w:rPr>
        <w:footnoteRef/>
      </w:r>
      <w:r>
        <w:t xml:space="preserve"> </w:t>
      </w:r>
      <w:r w:rsidRPr="00852E8E">
        <w:t xml:space="preserve">Robyn </w:t>
      </w:r>
      <w:proofErr w:type="spellStart"/>
      <w:r w:rsidRPr="00852E8E">
        <w:t>Malo</w:t>
      </w:r>
      <w:proofErr w:type="spellEnd"/>
      <w:r w:rsidRPr="00852E8E">
        <w:t xml:space="preserve">, </w:t>
      </w:r>
      <w:r w:rsidRPr="00313FD7">
        <w:rPr>
          <w:i/>
        </w:rPr>
        <w:t>Relics and Writing in Late Medieval England</w:t>
      </w:r>
      <w:r>
        <w:t xml:space="preserve"> (Toronto, ON, 2013)</w:t>
      </w:r>
      <w:r w:rsidRPr="00852E8E">
        <w:t xml:space="preserve">, 9. </w:t>
      </w:r>
    </w:p>
  </w:footnote>
  <w:footnote w:id="10">
    <w:p w:rsidR="00C543E0" w:rsidRPr="00852E8E" w:rsidRDefault="00C543E0" w:rsidP="00A51E6E">
      <w:pPr>
        <w:pStyle w:val="SCHfootnote"/>
      </w:pPr>
      <w:r w:rsidRPr="00852E8E">
        <w:rPr>
          <w:rStyle w:val="FootnoteReference"/>
        </w:rPr>
        <w:footnoteRef/>
      </w:r>
      <w:r>
        <w:t xml:space="preserve"> </w:t>
      </w:r>
      <w:proofErr w:type="spellStart"/>
      <w:r>
        <w:t>Katarzyna</w:t>
      </w:r>
      <w:proofErr w:type="spellEnd"/>
      <w:r>
        <w:t xml:space="preserve"> </w:t>
      </w:r>
      <w:proofErr w:type="spellStart"/>
      <w:r>
        <w:t>Rutkowski</w:t>
      </w:r>
      <w:proofErr w:type="spellEnd"/>
      <w:r>
        <w:t xml:space="preserve">, ‘Reformation of the Relic: Lydgate’s and Milton’s Saint Edmund’, in </w:t>
      </w:r>
      <w:r w:rsidRPr="00D90178">
        <w:t xml:space="preserve">Elizabeth Robertson and Jennifer </w:t>
      </w:r>
      <w:proofErr w:type="spellStart"/>
      <w:r w:rsidRPr="00D90178">
        <w:t>Jahner</w:t>
      </w:r>
      <w:proofErr w:type="spellEnd"/>
      <w:r>
        <w:t xml:space="preserve">, </w:t>
      </w:r>
      <w:proofErr w:type="spellStart"/>
      <w:proofErr w:type="gramStart"/>
      <w:r>
        <w:t>eds</w:t>
      </w:r>
      <w:proofErr w:type="spellEnd"/>
      <w:proofErr w:type="gramEnd"/>
      <w:r>
        <w:t>,</w:t>
      </w:r>
      <w:r w:rsidRPr="00D90178">
        <w:t xml:space="preserve"> </w:t>
      </w:r>
      <w:r w:rsidRPr="00313FD7">
        <w:rPr>
          <w:i/>
        </w:rPr>
        <w:t>Medieval and Early Modern Devotional Objects in Global Perspective: Translations of the</w:t>
      </w:r>
      <w:r>
        <w:rPr>
          <w:i/>
        </w:rPr>
        <w:t xml:space="preserve"> </w:t>
      </w:r>
      <w:r w:rsidRPr="00313FD7">
        <w:rPr>
          <w:i/>
        </w:rPr>
        <w:t>Sacred</w:t>
      </w:r>
      <w:r w:rsidRPr="00852E8E">
        <w:t xml:space="preserve"> </w:t>
      </w:r>
      <w:r>
        <w:t xml:space="preserve">(Basingstoke, 2010), 135–53, at 135. </w:t>
      </w:r>
    </w:p>
  </w:footnote>
  <w:footnote w:id="11">
    <w:p w:rsidR="00C543E0" w:rsidRPr="008C3409" w:rsidRDefault="00C543E0" w:rsidP="00A51E6E">
      <w:pPr>
        <w:pStyle w:val="SCHfootnote"/>
      </w:pPr>
      <w:r w:rsidRPr="008C3409">
        <w:rPr>
          <w:rStyle w:val="FootnoteReference"/>
        </w:rPr>
        <w:footnoteRef/>
      </w:r>
      <w:r>
        <w:t xml:space="preserve"> </w:t>
      </w:r>
      <w:r w:rsidRPr="008C3409">
        <w:t>This is a reference to a point made excellently by Cynthia Hahn in her study of medieval reliquaries – that reliquar</w:t>
      </w:r>
      <w:r>
        <w:t>ies, like relics, are ‘restless</w:t>
      </w:r>
      <w:r w:rsidRPr="008C3409">
        <w:t>’</w:t>
      </w:r>
      <w:r>
        <w:t>:</w:t>
      </w:r>
      <w:r w:rsidRPr="008C3409">
        <w:t xml:space="preserve"> ‘What do Reliquaries do for Relics?</w:t>
      </w:r>
      <w:proofErr w:type="gramStart"/>
      <w:r w:rsidRPr="008C3409">
        <w:t>’</w:t>
      </w:r>
      <w:r>
        <w:t>,</w:t>
      </w:r>
      <w:proofErr w:type="gramEnd"/>
      <w:r w:rsidRPr="008C3409">
        <w:t xml:space="preserve"> </w:t>
      </w:r>
      <w:r w:rsidRPr="008C3409">
        <w:rPr>
          <w:i/>
        </w:rPr>
        <w:t>Numen</w:t>
      </w:r>
      <w:r>
        <w:t xml:space="preserve"> 57 (2010), 284–</w:t>
      </w:r>
      <w:r w:rsidRPr="008C3409">
        <w:t>316, at 312. Reliquaries were, she argues, like relics</w:t>
      </w:r>
      <w:r>
        <w:t>, ‘restless’ as they were ‘</w:t>
      </w:r>
      <w:r w:rsidRPr="008C3409">
        <w:t>lifte</w:t>
      </w:r>
      <w:r>
        <w:t>d</w:t>
      </w:r>
      <w:r w:rsidRPr="008C3409">
        <w:t>, gestured with, carried in processions, opened and closed.</w:t>
      </w:r>
      <w:r w:rsidR="00496DDC">
        <w:t>’</w:t>
      </w:r>
    </w:p>
  </w:footnote>
  <w:footnote w:id="12">
    <w:p w:rsidR="00C543E0" w:rsidRPr="00173714" w:rsidRDefault="00C543E0" w:rsidP="00A51E6E">
      <w:pPr>
        <w:pStyle w:val="SCHfootnote"/>
        <w:rPr>
          <w:lang w:val="fr-FR"/>
        </w:rPr>
      </w:pPr>
      <w:r w:rsidRPr="008C3409">
        <w:rPr>
          <w:rStyle w:val="FootnoteReference"/>
        </w:rPr>
        <w:footnoteRef/>
      </w:r>
      <w:r w:rsidRPr="00173714">
        <w:rPr>
          <w:lang w:val="fr-FR"/>
        </w:rPr>
        <w:t xml:space="preserve"> </w:t>
      </w:r>
      <w:r w:rsidRPr="008C3409">
        <w:rPr>
          <w:lang w:val="fr-FR"/>
        </w:rPr>
        <w:t>ADVO, fonds privées, 10 J, 31, ‘In</w:t>
      </w:r>
      <w:r>
        <w:rPr>
          <w:lang w:val="fr-FR"/>
        </w:rPr>
        <w:t>ventaire après décès</w:t>
      </w:r>
      <w:r w:rsidRPr="008C3409">
        <w:rPr>
          <w:lang w:val="fr-FR"/>
        </w:rPr>
        <w:t>’</w:t>
      </w:r>
      <w:r>
        <w:rPr>
          <w:lang w:val="fr-FR"/>
        </w:rPr>
        <w:t>,</w:t>
      </w:r>
      <w:r w:rsidRPr="008C3409">
        <w:rPr>
          <w:lang w:val="fr-FR"/>
        </w:rPr>
        <w:t xml:space="preserve"> 1672. </w:t>
      </w:r>
    </w:p>
  </w:footnote>
  <w:footnote w:id="13">
    <w:p w:rsidR="00C543E0" w:rsidRPr="00C620FD" w:rsidRDefault="00C543E0" w:rsidP="00A51E6E">
      <w:pPr>
        <w:pStyle w:val="SCHfootnote"/>
        <w:rPr>
          <w:szCs w:val="20"/>
        </w:rPr>
      </w:pPr>
      <w:r w:rsidRPr="00C620FD">
        <w:rPr>
          <w:rStyle w:val="FootnoteReference"/>
          <w:szCs w:val="20"/>
        </w:rPr>
        <w:footnoteRef/>
      </w:r>
      <w:r>
        <w:rPr>
          <w:szCs w:val="20"/>
        </w:rPr>
        <w:t xml:space="preserve"> </w:t>
      </w:r>
      <w:r w:rsidRPr="00C620FD">
        <w:rPr>
          <w:szCs w:val="20"/>
        </w:rPr>
        <w:t>The tourist website of t</w:t>
      </w:r>
      <w:r>
        <w:rPr>
          <w:szCs w:val="20"/>
        </w:rPr>
        <w:t>he château describes the chapel: &lt;</w:t>
      </w:r>
      <w:r w:rsidRPr="004F2E95">
        <w:rPr>
          <w:szCs w:val="20"/>
        </w:rPr>
        <w:t>http://www.chateaudelarocheguyon.fr/content/heading14575/content16393.html</w:t>
      </w:r>
      <w:r>
        <w:rPr>
          <w:szCs w:val="20"/>
        </w:rPr>
        <w:t>&gt;,</w:t>
      </w:r>
      <w:r w:rsidRPr="00C620FD">
        <w:rPr>
          <w:szCs w:val="20"/>
        </w:rPr>
        <w:t xml:space="preserve"> accessed 8 July 2015.</w:t>
      </w:r>
    </w:p>
  </w:footnote>
  <w:footnote w:id="14">
    <w:p w:rsidR="00C543E0" w:rsidRPr="006356D5" w:rsidRDefault="00C543E0" w:rsidP="00A51E6E">
      <w:pPr>
        <w:pStyle w:val="SCHfootnote"/>
        <w:rPr>
          <w:szCs w:val="20"/>
        </w:rPr>
      </w:pPr>
      <w:r w:rsidRPr="00F3236C">
        <w:rPr>
          <w:rStyle w:val="FootnoteReference"/>
          <w:szCs w:val="20"/>
        </w:rPr>
        <w:footnoteRef/>
      </w:r>
      <w:r w:rsidRPr="006356D5">
        <w:rPr>
          <w:szCs w:val="20"/>
        </w:rPr>
        <w:t xml:space="preserve"> </w:t>
      </w:r>
      <w:proofErr w:type="gramStart"/>
      <w:r w:rsidRPr="006356D5">
        <w:rPr>
          <w:szCs w:val="20"/>
        </w:rPr>
        <w:t xml:space="preserve">ADVO, </w:t>
      </w:r>
      <w:proofErr w:type="spellStart"/>
      <w:r w:rsidRPr="006356D5">
        <w:rPr>
          <w:szCs w:val="20"/>
        </w:rPr>
        <w:t>fonds</w:t>
      </w:r>
      <w:proofErr w:type="spellEnd"/>
      <w:r w:rsidRPr="006356D5">
        <w:rPr>
          <w:szCs w:val="20"/>
        </w:rPr>
        <w:t xml:space="preserve"> </w:t>
      </w:r>
      <w:proofErr w:type="spellStart"/>
      <w:r w:rsidRPr="006356D5">
        <w:rPr>
          <w:szCs w:val="20"/>
        </w:rPr>
        <w:t>privées</w:t>
      </w:r>
      <w:proofErr w:type="spellEnd"/>
      <w:r w:rsidRPr="006356D5">
        <w:rPr>
          <w:szCs w:val="20"/>
        </w:rPr>
        <w:t>, 10 J</w:t>
      </w:r>
      <w:r w:rsidR="002130E3" w:rsidRPr="006356D5">
        <w:rPr>
          <w:szCs w:val="20"/>
        </w:rPr>
        <w:t>,</w:t>
      </w:r>
      <w:r w:rsidRPr="006356D5">
        <w:rPr>
          <w:szCs w:val="20"/>
        </w:rPr>
        <w:t xml:space="preserve"> 747.</w:t>
      </w:r>
      <w:proofErr w:type="gramEnd"/>
      <w:r w:rsidRPr="006356D5">
        <w:rPr>
          <w:szCs w:val="20"/>
        </w:rPr>
        <w:t xml:space="preserve"> </w:t>
      </w:r>
    </w:p>
  </w:footnote>
  <w:footnote w:id="15">
    <w:p w:rsidR="00C543E0" w:rsidRPr="004459D6" w:rsidRDefault="00C543E0" w:rsidP="00A51E6E">
      <w:pPr>
        <w:pStyle w:val="SCHfootnote"/>
      </w:pPr>
      <w:r w:rsidRPr="004459D6">
        <w:rPr>
          <w:rStyle w:val="FootnoteReference"/>
        </w:rPr>
        <w:footnoteRef/>
      </w:r>
      <w:r w:rsidRPr="004459D6">
        <w:t xml:space="preserve"> </w:t>
      </w:r>
      <w:r>
        <w:t xml:space="preserve">Patrick </w:t>
      </w:r>
      <w:r w:rsidRPr="004459D6">
        <w:t xml:space="preserve">Geary, </w:t>
      </w:r>
      <w:proofErr w:type="spellStart"/>
      <w:r w:rsidRPr="004459D6">
        <w:rPr>
          <w:i/>
        </w:rPr>
        <w:t>Furta</w:t>
      </w:r>
      <w:proofErr w:type="spellEnd"/>
      <w:r w:rsidRPr="004459D6">
        <w:rPr>
          <w:i/>
        </w:rPr>
        <w:t xml:space="preserve"> Sacra: Thefts of Relics in the Central Middle Ages</w:t>
      </w:r>
      <w:r w:rsidRPr="004459D6">
        <w:t xml:space="preserve"> (Princeton</w:t>
      </w:r>
      <w:r>
        <w:t xml:space="preserve">, NJ, 1990), 110; </w:t>
      </w:r>
      <w:proofErr w:type="spellStart"/>
      <w:r w:rsidRPr="004459D6">
        <w:t>Éric</w:t>
      </w:r>
      <w:proofErr w:type="spellEnd"/>
      <w:r w:rsidRPr="004459D6">
        <w:t xml:space="preserve"> </w:t>
      </w:r>
      <w:proofErr w:type="spellStart"/>
      <w:r w:rsidRPr="004459D6">
        <w:t>Rebillard</w:t>
      </w:r>
      <w:proofErr w:type="spellEnd"/>
      <w:r>
        <w:t>,</w:t>
      </w:r>
      <w:r w:rsidRPr="004459D6">
        <w:t xml:space="preserve"> </w:t>
      </w:r>
      <w:r w:rsidRPr="004459D6">
        <w:rPr>
          <w:i/>
        </w:rPr>
        <w:t>The Care of the Dead in Late Antiquity</w:t>
      </w:r>
      <w:r>
        <w:t>, transl.</w:t>
      </w:r>
      <w:r w:rsidRPr="00D944D7">
        <w:t xml:space="preserve"> Elizabeth </w:t>
      </w:r>
      <w:proofErr w:type="spellStart"/>
      <w:r w:rsidRPr="00D944D7">
        <w:t>Trapnell</w:t>
      </w:r>
      <w:proofErr w:type="spellEnd"/>
      <w:r w:rsidRPr="00D944D7">
        <w:t xml:space="preserve"> Rawlings and Jeanine </w:t>
      </w:r>
      <w:proofErr w:type="spellStart"/>
      <w:r w:rsidRPr="00D944D7">
        <w:t>Routier-Pucci</w:t>
      </w:r>
      <w:proofErr w:type="spellEnd"/>
      <w:r w:rsidRPr="004459D6">
        <w:t xml:space="preserve"> (</w:t>
      </w:r>
      <w:r>
        <w:t xml:space="preserve">Ithaca, NY, and </w:t>
      </w:r>
      <w:r w:rsidRPr="004459D6">
        <w:t xml:space="preserve">London, 2009), 67. </w:t>
      </w:r>
    </w:p>
  </w:footnote>
  <w:footnote w:id="16">
    <w:p w:rsidR="00C543E0" w:rsidRPr="005E7CE6" w:rsidRDefault="00C543E0" w:rsidP="00A51E6E">
      <w:pPr>
        <w:pStyle w:val="SCHfootnote"/>
        <w:rPr>
          <w:szCs w:val="20"/>
        </w:rPr>
      </w:pPr>
      <w:r w:rsidRPr="005E7CE6">
        <w:rPr>
          <w:rStyle w:val="FootnoteReference"/>
          <w:szCs w:val="20"/>
        </w:rPr>
        <w:footnoteRef/>
      </w:r>
      <w:r w:rsidRPr="005E7CE6">
        <w:rPr>
          <w:szCs w:val="20"/>
        </w:rPr>
        <w:t xml:space="preserve"> Patrick Geary, ‘Sacred Commodities: The Circulation of Medieval Relics’</w:t>
      </w:r>
      <w:r>
        <w:rPr>
          <w:szCs w:val="20"/>
        </w:rPr>
        <w:t>,</w:t>
      </w:r>
      <w:r w:rsidRPr="005E7CE6">
        <w:rPr>
          <w:szCs w:val="20"/>
        </w:rPr>
        <w:t xml:space="preserve"> in </w:t>
      </w:r>
      <w:r w:rsidRPr="00E50CCD">
        <w:rPr>
          <w:szCs w:val="20"/>
        </w:rPr>
        <w:t xml:space="preserve">Arjun </w:t>
      </w:r>
      <w:proofErr w:type="spellStart"/>
      <w:r w:rsidRPr="00E50CCD">
        <w:rPr>
          <w:szCs w:val="20"/>
        </w:rPr>
        <w:t>Appadurai</w:t>
      </w:r>
      <w:proofErr w:type="spellEnd"/>
      <w:r>
        <w:rPr>
          <w:szCs w:val="20"/>
        </w:rPr>
        <w:t>, ed.,</w:t>
      </w:r>
      <w:r w:rsidRPr="00E50CCD">
        <w:rPr>
          <w:szCs w:val="20"/>
        </w:rPr>
        <w:t xml:space="preserve"> </w:t>
      </w:r>
      <w:r w:rsidRPr="005E7CE6">
        <w:rPr>
          <w:i/>
          <w:szCs w:val="20"/>
        </w:rPr>
        <w:t>The Social Life of Things: Commodities in Cultural Perspective</w:t>
      </w:r>
      <w:r>
        <w:rPr>
          <w:szCs w:val="20"/>
        </w:rPr>
        <w:t xml:space="preserve"> </w:t>
      </w:r>
      <w:r w:rsidRPr="005E7CE6">
        <w:rPr>
          <w:szCs w:val="20"/>
        </w:rPr>
        <w:t>(Cambridge</w:t>
      </w:r>
      <w:r>
        <w:rPr>
          <w:szCs w:val="20"/>
        </w:rPr>
        <w:t>, 1986), 169–94, at 181; s</w:t>
      </w:r>
      <w:r w:rsidRPr="005E7CE6">
        <w:rPr>
          <w:szCs w:val="20"/>
        </w:rPr>
        <w:t xml:space="preserve">ee also Sherry L. </w:t>
      </w:r>
      <w:proofErr w:type="spellStart"/>
      <w:r w:rsidRPr="005E7CE6">
        <w:rPr>
          <w:szCs w:val="20"/>
        </w:rPr>
        <w:t>Reames</w:t>
      </w:r>
      <w:proofErr w:type="spellEnd"/>
      <w:r w:rsidRPr="005E7CE6">
        <w:rPr>
          <w:szCs w:val="20"/>
        </w:rPr>
        <w:t xml:space="preserve">, ‘Reconstructing and Interpreting </w:t>
      </w:r>
      <w:r>
        <w:rPr>
          <w:szCs w:val="20"/>
        </w:rPr>
        <w:t xml:space="preserve">a </w:t>
      </w:r>
      <w:r w:rsidRPr="005E7CE6">
        <w:rPr>
          <w:szCs w:val="20"/>
        </w:rPr>
        <w:t>Thirteenth-Century Office for t</w:t>
      </w:r>
      <w:r>
        <w:rPr>
          <w:szCs w:val="20"/>
        </w:rPr>
        <w:t>he Translation of Thomas Becket</w:t>
      </w:r>
      <w:r w:rsidRPr="005E7CE6">
        <w:rPr>
          <w:szCs w:val="20"/>
        </w:rPr>
        <w:t>’</w:t>
      </w:r>
      <w:r>
        <w:rPr>
          <w:szCs w:val="20"/>
        </w:rPr>
        <w:t>,</w:t>
      </w:r>
      <w:r w:rsidRPr="005E7CE6">
        <w:rPr>
          <w:szCs w:val="20"/>
        </w:rPr>
        <w:t xml:space="preserve"> </w:t>
      </w:r>
      <w:r w:rsidRPr="005E7CE6">
        <w:rPr>
          <w:i/>
          <w:szCs w:val="20"/>
        </w:rPr>
        <w:t>Speculum</w:t>
      </w:r>
      <w:r>
        <w:rPr>
          <w:szCs w:val="20"/>
        </w:rPr>
        <w:t xml:space="preserve"> 80 (2005), 118–</w:t>
      </w:r>
      <w:r w:rsidRPr="005E7CE6">
        <w:rPr>
          <w:szCs w:val="20"/>
        </w:rPr>
        <w:t xml:space="preserve">70. </w:t>
      </w:r>
    </w:p>
  </w:footnote>
  <w:footnote w:id="17">
    <w:p w:rsidR="00C543E0" w:rsidRPr="004204ED" w:rsidRDefault="00C543E0" w:rsidP="00A51E6E">
      <w:pPr>
        <w:pStyle w:val="SCHfootnote"/>
      </w:pPr>
      <w:r w:rsidRPr="004204ED">
        <w:rPr>
          <w:rStyle w:val="FootnoteReference"/>
        </w:rPr>
        <w:footnoteRef/>
      </w:r>
      <w:r>
        <w:t xml:space="preserve"> The phrase ‘restless relics’ is borrowed from </w:t>
      </w:r>
      <w:r w:rsidRPr="004204ED">
        <w:t>Hahn, ‘Wha</w:t>
      </w:r>
      <w:r>
        <w:t>t do Reliquaries do for Relics?</w:t>
      </w:r>
      <w:proofErr w:type="gramStart"/>
      <w:r>
        <w:t>’,</w:t>
      </w:r>
      <w:proofErr w:type="gramEnd"/>
      <w:r>
        <w:t xml:space="preserve"> </w:t>
      </w:r>
      <w:r w:rsidRPr="004204ED">
        <w:t xml:space="preserve">312. </w:t>
      </w:r>
      <w:proofErr w:type="spellStart"/>
      <w:r>
        <w:t>Pientia’s</w:t>
      </w:r>
      <w:proofErr w:type="spellEnd"/>
      <w:r>
        <w:t xml:space="preserve"> </w:t>
      </w:r>
      <w:r w:rsidRPr="004204ED">
        <w:t xml:space="preserve">teeth were among the relics at </w:t>
      </w:r>
      <w:proofErr w:type="spellStart"/>
      <w:r w:rsidRPr="004204ED">
        <w:t>A</w:t>
      </w:r>
      <w:r>
        <w:t>vranches</w:t>
      </w:r>
      <w:proofErr w:type="spellEnd"/>
      <w:r>
        <w:t xml:space="preserve"> listed in an inventory: Samantha Kahn Herrick, </w:t>
      </w:r>
      <w:r w:rsidRPr="00C40591">
        <w:rPr>
          <w:i/>
        </w:rPr>
        <w:t>Imagining the Sacred Past: Hagiography and Power in Early Normandy</w:t>
      </w:r>
      <w:r>
        <w:t xml:space="preserve"> (Cambridge, MA, 2007),</w:t>
      </w:r>
      <w:r w:rsidRPr="004204ED">
        <w:t xml:space="preserve"> </w:t>
      </w:r>
      <w:r>
        <w:t>1</w:t>
      </w:r>
      <w:r w:rsidRPr="004204ED">
        <w:t>49.</w:t>
      </w:r>
    </w:p>
  </w:footnote>
  <w:footnote w:id="18">
    <w:p w:rsidR="00C543E0" w:rsidRPr="004204ED" w:rsidRDefault="00C543E0" w:rsidP="00A51E6E">
      <w:pPr>
        <w:pStyle w:val="SCHfootnote"/>
        <w:rPr>
          <w:szCs w:val="20"/>
        </w:rPr>
      </w:pPr>
      <w:r w:rsidRPr="004204ED">
        <w:rPr>
          <w:rStyle w:val="FootnoteReference"/>
          <w:szCs w:val="20"/>
        </w:rPr>
        <w:footnoteRef/>
      </w:r>
      <w:r>
        <w:rPr>
          <w:szCs w:val="20"/>
        </w:rPr>
        <w:t xml:space="preserve"> </w:t>
      </w:r>
      <w:r w:rsidRPr="004204ED">
        <w:rPr>
          <w:szCs w:val="20"/>
        </w:rPr>
        <w:t xml:space="preserve">Herrick, </w:t>
      </w:r>
      <w:r w:rsidRPr="008B5A5C">
        <w:rPr>
          <w:i/>
          <w:szCs w:val="20"/>
        </w:rPr>
        <w:t>Imagining</w:t>
      </w:r>
      <w:r w:rsidRPr="004204ED">
        <w:rPr>
          <w:szCs w:val="20"/>
        </w:rPr>
        <w:t xml:space="preserve">, 17 – 18. </w:t>
      </w:r>
    </w:p>
  </w:footnote>
  <w:footnote w:id="19">
    <w:p w:rsidR="00C543E0" w:rsidRPr="006356D5" w:rsidRDefault="00C543E0" w:rsidP="00A51E6E">
      <w:pPr>
        <w:pStyle w:val="SCHfootnote"/>
        <w:rPr>
          <w:szCs w:val="20"/>
          <w:lang w:val="fr-FR"/>
        </w:rPr>
      </w:pPr>
      <w:r w:rsidRPr="004204ED">
        <w:rPr>
          <w:rStyle w:val="FootnoteReference"/>
          <w:szCs w:val="20"/>
        </w:rPr>
        <w:footnoteRef/>
      </w:r>
      <w:r w:rsidRPr="004204ED">
        <w:rPr>
          <w:szCs w:val="20"/>
        </w:rPr>
        <w:t xml:space="preserve"> </w:t>
      </w:r>
      <w:proofErr w:type="spellStart"/>
      <w:r w:rsidRPr="009F15C6">
        <w:rPr>
          <w:i/>
          <w:szCs w:val="20"/>
        </w:rPr>
        <w:t>Passio</w:t>
      </w:r>
      <w:proofErr w:type="spellEnd"/>
      <w:r w:rsidRPr="009F15C6">
        <w:rPr>
          <w:i/>
          <w:szCs w:val="20"/>
        </w:rPr>
        <w:t xml:space="preserve"> </w:t>
      </w:r>
      <w:proofErr w:type="spellStart"/>
      <w:r w:rsidRPr="009F15C6">
        <w:rPr>
          <w:i/>
          <w:szCs w:val="20"/>
        </w:rPr>
        <w:t>Nicasii</w:t>
      </w:r>
      <w:proofErr w:type="spellEnd"/>
      <w:r>
        <w:rPr>
          <w:szCs w:val="20"/>
        </w:rPr>
        <w:t xml:space="preserve">, in ‘Appendix ad </w:t>
      </w:r>
      <w:proofErr w:type="spellStart"/>
      <w:r>
        <w:rPr>
          <w:szCs w:val="20"/>
        </w:rPr>
        <w:t>catalogum</w:t>
      </w:r>
      <w:proofErr w:type="spellEnd"/>
      <w:r>
        <w:rPr>
          <w:szCs w:val="20"/>
        </w:rPr>
        <w:t xml:space="preserve"> </w:t>
      </w:r>
      <w:proofErr w:type="spellStart"/>
      <w:r>
        <w:rPr>
          <w:szCs w:val="20"/>
        </w:rPr>
        <w:t>codicium</w:t>
      </w:r>
      <w:proofErr w:type="spellEnd"/>
      <w:r>
        <w:rPr>
          <w:szCs w:val="20"/>
        </w:rPr>
        <w:t xml:space="preserve"> </w:t>
      </w:r>
      <w:proofErr w:type="spellStart"/>
      <w:r>
        <w:rPr>
          <w:szCs w:val="20"/>
        </w:rPr>
        <w:t>hagiographicorum</w:t>
      </w:r>
      <w:proofErr w:type="spellEnd"/>
      <w:r>
        <w:rPr>
          <w:szCs w:val="20"/>
        </w:rPr>
        <w:t xml:space="preserve"> </w:t>
      </w:r>
      <w:proofErr w:type="spellStart"/>
      <w:r>
        <w:rPr>
          <w:szCs w:val="20"/>
        </w:rPr>
        <w:t>civitatis</w:t>
      </w:r>
      <w:proofErr w:type="spellEnd"/>
      <w:r>
        <w:rPr>
          <w:szCs w:val="20"/>
        </w:rPr>
        <w:t xml:space="preserve"> et </w:t>
      </w:r>
      <w:proofErr w:type="spellStart"/>
      <w:r>
        <w:rPr>
          <w:szCs w:val="20"/>
        </w:rPr>
        <w:t>academiae</w:t>
      </w:r>
      <w:proofErr w:type="spellEnd"/>
      <w:r>
        <w:rPr>
          <w:szCs w:val="20"/>
        </w:rPr>
        <w:t xml:space="preserve"> </w:t>
      </w:r>
      <w:proofErr w:type="spellStart"/>
      <w:r>
        <w:rPr>
          <w:szCs w:val="20"/>
        </w:rPr>
        <w:t>Leodiensis</w:t>
      </w:r>
      <w:proofErr w:type="spellEnd"/>
      <w:r>
        <w:rPr>
          <w:szCs w:val="20"/>
        </w:rPr>
        <w:t xml:space="preserve">’, </w:t>
      </w:r>
      <w:proofErr w:type="spellStart"/>
      <w:r w:rsidRPr="009F15C6">
        <w:rPr>
          <w:i/>
          <w:szCs w:val="20"/>
        </w:rPr>
        <w:t>AnBoll</w:t>
      </w:r>
      <w:proofErr w:type="spellEnd"/>
      <w:r w:rsidRPr="009F15C6">
        <w:rPr>
          <w:i/>
          <w:szCs w:val="20"/>
        </w:rPr>
        <w:t xml:space="preserve"> </w:t>
      </w:r>
      <w:r>
        <w:rPr>
          <w:szCs w:val="20"/>
        </w:rPr>
        <w:t>1 (1886</w:t>
      </w:r>
      <w:proofErr w:type="gramStart"/>
      <w:r>
        <w:rPr>
          <w:szCs w:val="20"/>
        </w:rPr>
        <w:t>)[</w:t>
      </w:r>
      <w:proofErr w:type="gramEnd"/>
      <w:r>
        <w:rPr>
          <w:szCs w:val="20"/>
        </w:rPr>
        <w:t xml:space="preserve">surely the date or volume number is incorrect?], 372–4; ‘Appendix ad </w:t>
      </w:r>
      <w:proofErr w:type="spellStart"/>
      <w:r>
        <w:rPr>
          <w:szCs w:val="20"/>
        </w:rPr>
        <w:t>catalogum</w:t>
      </w:r>
      <w:proofErr w:type="spellEnd"/>
      <w:r>
        <w:rPr>
          <w:szCs w:val="20"/>
        </w:rPr>
        <w:t xml:space="preserve"> </w:t>
      </w:r>
      <w:proofErr w:type="spellStart"/>
      <w:r>
        <w:rPr>
          <w:szCs w:val="20"/>
        </w:rPr>
        <w:t>codicium</w:t>
      </w:r>
      <w:proofErr w:type="spellEnd"/>
      <w:r>
        <w:rPr>
          <w:szCs w:val="20"/>
        </w:rPr>
        <w:t xml:space="preserve"> </w:t>
      </w:r>
      <w:proofErr w:type="spellStart"/>
      <w:r>
        <w:rPr>
          <w:szCs w:val="20"/>
        </w:rPr>
        <w:t>hagiographicorum</w:t>
      </w:r>
      <w:proofErr w:type="spellEnd"/>
      <w:r>
        <w:rPr>
          <w:szCs w:val="20"/>
        </w:rPr>
        <w:t xml:space="preserve"> </w:t>
      </w:r>
      <w:proofErr w:type="spellStart"/>
      <w:r>
        <w:rPr>
          <w:szCs w:val="20"/>
        </w:rPr>
        <w:t>civitatis</w:t>
      </w:r>
      <w:proofErr w:type="spellEnd"/>
      <w:r>
        <w:rPr>
          <w:szCs w:val="20"/>
        </w:rPr>
        <w:t xml:space="preserve"> </w:t>
      </w:r>
      <w:proofErr w:type="spellStart"/>
      <w:r>
        <w:rPr>
          <w:szCs w:val="20"/>
        </w:rPr>
        <w:t>Namurcensis</w:t>
      </w:r>
      <w:proofErr w:type="spellEnd"/>
      <w:r>
        <w:rPr>
          <w:szCs w:val="20"/>
        </w:rPr>
        <w:t xml:space="preserve">’, </w:t>
      </w:r>
      <w:proofErr w:type="spellStart"/>
      <w:r w:rsidRPr="009F15C6">
        <w:rPr>
          <w:i/>
          <w:szCs w:val="20"/>
        </w:rPr>
        <w:t>AnBoll</w:t>
      </w:r>
      <w:proofErr w:type="spellEnd"/>
      <w:r>
        <w:rPr>
          <w:szCs w:val="20"/>
        </w:rPr>
        <w:t xml:space="preserve"> 1 (1882), 628–32, </w:t>
      </w:r>
      <w:r w:rsidR="00496DDC">
        <w:rPr>
          <w:szCs w:val="20"/>
        </w:rPr>
        <w:t>both cited</w:t>
      </w:r>
      <w:r>
        <w:rPr>
          <w:szCs w:val="20"/>
        </w:rPr>
        <w:t xml:space="preserve"> in </w:t>
      </w:r>
      <w:r w:rsidRPr="004204ED">
        <w:rPr>
          <w:szCs w:val="20"/>
        </w:rPr>
        <w:t xml:space="preserve">Herrick, </w:t>
      </w:r>
      <w:r w:rsidRPr="00C40591">
        <w:rPr>
          <w:i/>
          <w:szCs w:val="20"/>
        </w:rPr>
        <w:t>Imagining</w:t>
      </w:r>
      <w:r>
        <w:rPr>
          <w:szCs w:val="20"/>
        </w:rPr>
        <w:t xml:space="preserve">, 154. See also Samantha Kahn Herrick, ‘Heirs to the Apostles: Saintly Power and Ducal Authority in Hagiography of Early Normandy’, in </w:t>
      </w:r>
      <w:r w:rsidRPr="009F15C6">
        <w:rPr>
          <w:szCs w:val="20"/>
        </w:rPr>
        <w:t xml:space="preserve">Adam J. </w:t>
      </w:r>
      <w:proofErr w:type="spellStart"/>
      <w:r w:rsidRPr="009F15C6">
        <w:rPr>
          <w:szCs w:val="20"/>
        </w:rPr>
        <w:t>K</w:t>
      </w:r>
      <w:r>
        <w:rPr>
          <w:szCs w:val="20"/>
        </w:rPr>
        <w:t>osto</w:t>
      </w:r>
      <w:proofErr w:type="spellEnd"/>
      <w:r>
        <w:rPr>
          <w:szCs w:val="20"/>
        </w:rPr>
        <w:t>, Alan Cooper</w:t>
      </w:r>
      <w:r w:rsidRPr="009F15C6">
        <w:rPr>
          <w:szCs w:val="20"/>
        </w:rPr>
        <w:t xml:space="preserve"> and Robert </w:t>
      </w:r>
      <w:proofErr w:type="spellStart"/>
      <w:r w:rsidRPr="009F15C6">
        <w:rPr>
          <w:szCs w:val="20"/>
        </w:rPr>
        <w:t>Berkhoffer</w:t>
      </w:r>
      <w:proofErr w:type="spellEnd"/>
      <w:r>
        <w:rPr>
          <w:szCs w:val="20"/>
        </w:rPr>
        <w:t xml:space="preserve">, </w:t>
      </w:r>
      <w:proofErr w:type="spellStart"/>
      <w:r>
        <w:rPr>
          <w:szCs w:val="20"/>
        </w:rPr>
        <w:t>eds</w:t>
      </w:r>
      <w:proofErr w:type="spellEnd"/>
      <w:r>
        <w:rPr>
          <w:szCs w:val="20"/>
        </w:rPr>
        <w:t>,</w:t>
      </w:r>
      <w:r w:rsidRPr="009F15C6">
        <w:rPr>
          <w:szCs w:val="20"/>
        </w:rPr>
        <w:t xml:space="preserve"> </w:t>
      </w:r>
      <w:r w:rsidRPr="00B62D88">
        <w:rPr>
          <w:i/>
          <w:szCs w:val="20"/>
        </w:rPr>
        <w:t>The Experience of</w:t>
      </w:r>
      <w:r>
        <w:rPr>
          <w:i/>
          <w:szCs w:val="20"/>
        </w:rPr>
        <w:t xml:space="preserve"> Power in Medieval Europe 950–</w:t>
      </w:r>
      <w:r w:rsidRPr="00B62D88">
        <w:rPr>
          <w:i/>
          <w:szCs w:val="20"/>
        </w:rPr>
        <w:t>1350</w:t>
      </w:r>
      <w:r>
        <w:rPr>
          <w:szCs w:val="20"/>
        </w:rPr>
        <w:t xml:space="preserve"> (Aldershot, 2005), 11–24; A. </w:t>
      </w:r>
      <w:proofErr w:type="spellStart"/>
      <w:r>
        <w:rPr>
          <w:szCs w:val="20"/>
        </w:rPr>
        <w:t>Legris</w:t>
      </w:r>
      <w:proofErr w:type="spellEnd"/>
      <w:r>
        <w:rPr>
          <w:szCs w:val="20"/>
        </w:rPr>
        <w:t xml:space="preserve">, ‘Les Premiers martyrs du </w:t>
      </w:r>
      <w:proofErr w:type="spellStart"/>
      <w:r>
        <w:rPr>
          <w:szCs w:val="20"/>
        </w:rPr>
        <w:t>Vexin</w:t>
      </w:r>
      <w:proofErr w:type="spellEnd"/>
      <w:r>
        <w:rPr>
          <w:szCs w:val="20"/>
        </w:rPr>
        <w:t xml:space="preserve">. </w:t>
      </w:r>
      <w:r w:rsidRPr="00163B0C">
        <w:rPr>
          <w:szCs w:val="20"/>
          <w:lang w:val="fr-FR"/>
        </w:rPr>
        <w:t xml:space="preserve">Saints Nicaise, </w:t>
      </w:r>
      <w:proofErr w:type="spellStart"/>
      <w:r w:rsidRPr="00163B0C">
        <w:rPr>
          <w:szCs w:val="20"/>
          <w:lang w:val="fr-FR"/>
        </w:rPr>
        <w:t>Quirin</w:t>
      </w:r>
      <w:proofErr w:type="spellEnd"/>
      <w:r w:rsidRPr="00163B0C">
        <w:rPr>
          <w:szCs w:val="20"/>
          <w:lang w:val="fr-FR"/>
        </w:rPr>
        <w:t xml:space="preserve">, </w:t>
      </w:r>
      <w:proofErr w:type="spellStart"/>
      <w:r w:rsidRPr="00163B0C">
        <w:rPr>
          <w:szCs w:val="20"/>
          <w:lang w:val="fr-FR"/>
        </w:rPr>
        <w:t>Scuvicule</w:t>
      </w:r>
      <w:proofErr w:type="spellEnd"/>
      <w:r w:rsidRPr="00163B0C">
        <w:rPr>
          <w:szCs w:val="20"/>
          <w:lang w:val="fr-FR"/>
        </w:rPr>
        <w:t xml:space="preserve">, </w:t>
      </w:r>
      <w:proofErr w:type="spellStart"/>
      <w:r w:rsidRPr="00163B0C">
        <w:rPr>
          <w:szCs w:val="20"/>
          <w:lang w:val="fr-FR"/>
        </w:rPr>
        <w:t>Pience</w:t>
      </w:r>
      <w:proofErr w:type="spellEnd"/>
      <w:r w:rsidRPr="00163B0C">
        <w:rPr>
          <w:szCs w:val="20"/>
          <w:lang w:val="fr-FR"/>
        </w:rPr>
        <w:t xml:space="preserve"> (11 octobre)’, </w:t>
      </w:r>
      <w:r w:rsidRPr="00163B0C">
        <w:rPr>
          <w:i/>
          <w:szCs w:val="20"/>
          <w:lang w:val="fr-FR"/>
        </w:rPr>
        <w:t>Revue catholique de Normandie</w:t>
      </w:r>
      <w:r w:rsidRPr="00163B0C">
        <w:rPr>
          <w:szCs w:val="20"/>
          <w:lang w:val="fr-FR"/>
        </w:rPr>
        <w:t xml:space="preserve"> (1912), 280–96. </w:t>
      </w:r>
    </w:p>
  </w:footnote>
  <w:footnote w:id="20">
    <w:p w:rsidR="00C543E0" w:rsidRPr="008037EB" w:rsidRDefault="00C543E0" w:rsidP="00A51E6E">
      <w:pPr>
        <w:pStyle w:val="SCHfootnote"/>
      </w:pPr>
      <w:r w:rsidRPr="004204ED">
        <w:rPr>
          <w:rStyle w:val="FootnoteReference"/>
        </w:rPr>
        <w:footnoteRef/>
      </w:r>
      <w:r>
        <w:t xml:space="preserve"> </w:t>
      </w:r>
      <w:proofErr w:type="spellStart"/>
      <w:r w:rsidRPr="008037EB">
        <w:t>Davanne</w:t>
      </w:r>
      <w:proofErr w:type="spellEnd"/>
      <w:r w:rsidRPr="008037EB">
        <w:t xml:space="preserve">, </w:t>
      </w:r>
      <w:proofErr w:type="spellStart"/>
      <w:r w:rsidRPr="008037EB">
        <w:rPr>
          <w:i/>
        </w:rPr>
        <w:t>Recueil</w:t>
      </w:r>
      <w:proofErr w:type="spellEnd"/>
      <w:r w:rsidRPr="008037EB">
        <w:t xml:space="preserve">, 42. </w:t>
      </w:r>
    </w:p>
  </w:footnote>
  <w:footnote w:id="21">
    <w:p w:rsidR="00C543E0" w:rsidRPr="00660172" w:rsidRDefault="00C543E0" w:rsidP="00A51E6E">
      <w:pPr>
        <w:pStyle w:val="SCHfootnote"/>
      </w:pPr>
      <w:r w:rsidRPr="00660172">
        <w:rPr>
          <w:rStyle w:val="FootnoteReference"/>
        </w:rPr>
        <w:footnoteRef/>
      </w:r>
      <w:r w:rsidRPr="00660172">
        <w:t xml:space="preserve"> </w:t>
      </w:r>
      <w:r>
        <w:t xml:space="preserve">William </w:t>
      </w:r>
      <w:r w:rsidRPr="00660172">
        <w:t xml:space="preserve">Christian, </w:t>
      </w:r>
      <w:r w:rsidRPr="00230726">
        <w:rPr>
          <w:i/>
        </w:rPr>
        <w:t>Local Religion in Sixteenth-Century Spain</w:t>
      </w:r>
      <w:r>
        <w:t xml:space="preserve"> (Princeton, NJ, 1981)</w:t>
      </w:r>
      <w:r w:rsidRPr="00660172">
        <w:t xml:space="preserve">, 127. </w:t>
      </w:r>
    </w:p>
  </w:footnote>
  <w:footnote w:id="22">
    <w:p w:rsidR="00C543E0" w:rsidRPr="00230726" w:rsidRDefault="00C543E0" w:rsidP="00A51E6E">
      <w:pPr>
        <w:pStyle w:val="SCHfootnote"/>
        <w:rPr>
          <w:lang w:val="fr-FR"/>
        </w:rPr>
      </w:pPr>
      <w:r w:rsidRPr="00660172">
        <w:rPr>
          <w:rStyle w:val="FootnoteReference"/>
        </w:rPr>
        <w:footnoteRef/>
      </w:r>
      <w:r>
        <w:rPr>
          <w:lang w:val="fr-FR"/>
        </w:rPr>
        <w:t xml:space="preserve"> </w:t>
      </w:r>
      <w:proofErr w:type="spellStart"/>
      <w:r w:rsidRPr="00230726">
        <w:rPr>
          <w:lang w:val="fr-FR"/>
        </w:rPr>
        <w:t>Davanne</w:t>
      </w:r>
      <w:proofErr w:type="spellEnd"/>
      <w:r w:rsidRPr="00230726">
        <w:rPr>
          <w:lang w:val="fr-FR"/>
        </w:rPr>
        <w:t xml:space="preserve">, </w:t>
      </w:r>
      <w:r w:rsidRPr="00CF5C45">
        <w:rPr>
          <w:i/>
          <w:lang w:val="fr-FR"/>
        </w:rPr>
        <w:t>Recueil</w:t>
      </w:r>
      <w:r>
        <w:rPr>
          <w:lang w:val="fr-FR"/>
        </w:rPr>
        <w:t>, 44–</w:t>
      </w:r>
      <w:r w:rsidRPr="00230726">
        <w:rPr>
          <w:lang w:val="fr-FR"/>
        </w:rPr>
        <w:t xml:space="preserve">9. </w:t>
      </w:r>
    </w:p>
  </w:footnote>
  <w:footnote w:id="23">
    <w:p w:rsidR="00C543E0" w:rsidRPr="00230726" w:rsidRDefault="00C543E0" w:rsidP="00A51E6E">
      <w:pPr>
        <w:pStyle w:val="SCHfootnote"/>
        <w:rPr>
          <w:lang w:val="fr-FR"/>
        </w:rPr>
      </w:pPr>
      <w:r w:rsidRPr="00660172">
        <w:rPr>
          <w:rStyle w:val="FootnoteReference"/>
        </w:rPr>
        <w:footnoteRef/>
      </w:r>
      <w:r w:rsidRPr="00173714">
        <w:rPr>
          <w:lang w:val="fr-FR"/>
        </w:rPr>
        <w:t xml:space="preserve"> </w:t>
      </w:r>
      <w:r w:rsidRPr="009F15C6">
        <w:rPr>
          <w:lang w:val="fr-FR"/>
        </w:rPr>
        <w:t>Ibid</w:t>
      </w:r>
      <w:r>
        <w:rPr>
          <w:lang w:val="fr-FR"/>
        </w:rPr>
        <w:t>.</w:t>
      </w:r>
      <w:r w:rsidRPr="009F15C6">
        <w:rPr>
          <w:lang w:val="fr-FR"/>
        </w:rPr>
        <w:t xml:space="preserve"> </w:t>
      </w:r>
      <w:r w:rsidRPr="00230726">
        <w:rPr>
          <w:lang w:val="fr-FR"/>
        </w:rPr>
        <w:t xml:space="preserve">46. </w:t>
      </w:r>
    </w:p>
  </w:footnote>
  <w:footnote w:id="24">
    <w:p w:rsidR="00C543E0" w:rsidRPr="00230726" w:rsidRDefault="00C543E0" w:rsidP="00A51E6E">
      <w:pPr>
        <w:pStyle w:val="SCHfootnote"/>
        <w:rPr>
          <w:lang w:val="fr-FR"/>
        </w:rPr>
      </w:pPr>
      <w:r w:rsidRPr="00660172">
        <w:rPr>
          <w:rStyle w:val="FootnoteReference"/>
        </w:rPr>
        <w:footnoteRef/>
      </w:r>
      <w:r w:rsidRPr="00173714">
        <w:rPr>
          <w:lang w:val="fr-FR"/>
        </w:rPr>
        <w:t xml:space="preserve"> </w:t>
      </w:r>
      <w:r w:rsidRPr="009F15C6">
        <w:rPr>
          <w:lang w:val="fr-FR"/>
        </w:rPr>
        <w:t>Ibid</w:t>
      </w:r>
      <w:r>
        <w:rPr>
          <w:lang w:val="fr-FR"/>
        </w:rPr>
        <w:t>.</w:t>
      </w:r>
      <w:r w:rsidRPr="006D4221">
        <w:rPr>
          <w:lang w:val="fr-FR"/>
        </w:rPr>
        <w:t xml:space="preserve"> </w:t>
      </w:r>
      <w:r w:rsidRPr="00230726">
        <w:rPr>
          <w:lang w:val="fr-FR"/>
        </w:rPr>
        <w:t xml:space="preserve">3. </w:t>
      </w:r>
    </w:p>
  </w:footnote>
  <w:footnote w:id="25">
    <w:p w:rsidR="00C543E0" w:rsidRPr="00F233DA" w:rsidRDefault="00C543E0" w:rsidP="00A51E6E">
      <w:pPr>
        <w:pStyle w:val="SCHfootnote"/>
        <w:rPr>
          <w:lang w:val="fr-FR"/>
        </w:rPr>
      </w:pPr>
      <w:r w:rsidRPr="00F233DA">
        <w:rPr>
          <w:rStyle w:val="FootnoteReference"/>
        </w:rPr>
        <w:footnoteRef/>
      </w:r>
      <w:r>
        <w:rPr>
          <w:lang w:val="fr-FR"/>
        </w:rPr>
        <w:t xml:space="preserve"> Ibid.</w:t>
      </w:r>
      <w:r w:rsidRPr="00F233DA">
        <w:rPr>
          <w:lang w:val="fr-FR"/>
        </w:rPr>
        <w:t xml:space="preserve"> 6. </w:t>
      </w:r>
    </w:p>
  </w:footnote>
  <w:footnote w:id="26">
    <w:p w:rsidR="00C543E0" w:rsidRPr="00163B0C" w:rsidRDefault="00C543E0" w:rsidP="00A51E6E">
      <w:pPr>
        <w:pStyle w:val="SCHfootnote"/>
        <w:rPr>
          <w:lang w:val="fr-FR"/>
        </w:rPr>
      </w:pPr>
      <w:r w:rsidRPr="00F233DA">
        <w:rPr>
          <w:rStyle w:val="FootnoteReference"/>
        </w:rPr>
        <w:footnoteRef/>
      </w:r>
      <w:r w:rsidRPr="00163B0C">
        <w:rPr>
          <w:lang w:val="fr-FR"/>
        </w:rPr>
        <w:t xml:space="preserve"> Ibid. 12. </w:t>
      </w:r>
    </w:p>
  </w:footnote>
  <w:footnote w:id="27">
    <w:p w:rsidR="00C543E0" w:rsidRPr="00A14490" w:rsidRDefault="00C543E0" w:rsidP="00A51E6E">
      <w:pPr>
        <w:pStyle w:val="SCHfootnote"/>
      </w:pPr>
      <w:r w:rsidRPr="00F233DA">
        <w:rPr>
          <w:rStyle w:val="FootnoteReference"/>
        </w:rPr>
        <w:footnoteRef/>
      </w:r>
      <w:r w:rsidRPr="00163B0C">
        <w:rPr>
          <w:lang w:val="fr-FR"/>
        </w:rPr>
        <w:t xml:space="preserve"> Jacques Dubois, </w:t>
      </w:r>
      <w:proofErr w:type="spellStart"/>
      <w:r w:rsidRPr="00163B0C">
        <w:rPr>
          <w:lang w:val="fr-FR"/>
        </w:rPr>
        <w:t>ed</w:t>
      </w:r>
      <w:proofErr w:type="spellEnd"/>
      <w:r w:rsidRPr="00163B0C">
        <w:rPr>
          <w:lang w:val="fr-FR"/>
        </w:rPr>
        <w:t xml:space="preserve">., </w:t>
      </w:r>
      <w:r w:rsidRPr="00163B0C">
        <w:rPr>
          <w:i/>
          <w:lang w:val="fr-FR"/>
        </w:rPr>
        <w:t>Le Martyrologe d’</w:t>
      </w:r>
      <w:proofErr w:type="spellStart"/>
      <w:r w:rsidRPr="00163B0C">
        <w:rPr>
          <w:i/>
          <w:lang w:val="fr-FR"/>
        </w:rPr>
        <w:t>Usuard</w:t>
      </w:r>
      <w:proofErr w:type="spellEnd"/>
      <w:r w:rsidRPr="00163B0C">
        <w:rPr>
          <w:i/>
          <w:lang w:val="fr-FR"/>
        </w:rPr>
        <w:t xml:space="preserve">. </w:t>
      </w:r>
      <w:proofErr w:type="spellStart"/>
      <w:r w:rsidRPr="00A14490">
        <w:rPr>
          <w:i/>
        </w:rPr>
        <w:t>Texte</w:t>
      </w:r>
      <w:proofErr w:type="spellEnd"/>
      <w:r w:rsidRPr="00A14490">
        <w:rPr>
          <w:i/>
        </w:rPr>
        <w:t xml:space="preserve"> </w:t>
      </w:r>
      <w:proofErr w:type="gramStart"/>
      <w:r w:rsidRPr="00A14490">
        <w:rPr>
          <w:i/>
        </w:rPr>
        <w:t>et</w:t>
      </w:r>
      <w:proofErr w:type="gramEnd"/>
      <w:r w:rsidRPr="00A14490">
        <w:rPr>
          <w:i/>
        </w:rPr>
        <w:t xml:space="preserve"> </w:t>
      </w:r>
      <w:proofErr w:type="spellStart"/>
      <w:r w:rsidRPr="00A14490">
        <w:rPr>
          <w:i/>
        </w:rPr>
        <w:t>commentaire</w:t>
      </w:r>
      <w:proofErr w:type="spellEnd"/>
      <w:r w:rsidRPr="00A14490">
        <w:t xml:space="preserve">, </w:t>
      </w:r>
      <w:proofErr w:type="spellStart"/>
      <w:r w:rsidRPr="00A14490">
        <w:t>S</w:t>
      </w:r>
      <w:r>
        <w:t>ubsidia</w:t>
      </w:r>
      <w:proofErr w:type="spellEnd"/>
      <w:r>
        <w:t xml:space="preserve"> </w:t>
      </w:r>
      <w:proofErr w:type="spellStart"/>
      <w:r w:rsidRPr="00A14490">
        <w:t>H</w:t>
      </w:r>
      <w:r>
        <w:t>agiographica</w:t>
      </w:r>
      <w:proofErr w:type="spellEnd"/>
      <w:r>
        <w:t xml:space="preserve"> 40 (Brussels, 1965), cited in </w:t>
      </w:r>
      <w:r w:rsidRPr="00F233DA">
        <w:t xml:space="preserve">Herrick, </w:t>
      </w:r>
      <w:r w:rsidRPr="00F233DA">
        <w:rPr>
          <w:i/>
        </w:rPr>
        <w:t>Imagining</w:t>
      </w:r>
      <w:r>
        <w:t xml:space="preserve">, 155. </w:t>
      </w:r>
    </w:p>
  </w:footnote>
  <w:footnote w:id="28">
    <w:p w:rsidR="00C543E0" w:rsidRPr="00F233DA" w:rsidRDefault="00C543E0" w:rsidP="00A51E6E">
      <w:pPr>
        <w:pStyle w:val="SCHfootnote"/>
        <w:rPr>
          <w:lang w:val="fr-FR"/>
        </w:rPr>
      </w:pPr>
      <w:r w:rsidRPr="00F233DA">
        <w:rPr>
          <w:rStyle w:val="FootnoteReference"/>
        </w:rPr>
        <w:footnoteRef/>
      </w:r>
      <w:r>
        <w:t xml:space="preserve"> </w:t>
      </w:r>
      <w:proofErr w:type="gramStart"/>
      <w:r w:rsidRPr="00F233DA">
        <w:t xml:space="preserve">Herrick, </w:t>
      </w:r>
      <w:r w:rsidRPr="00F233DA">
        <w:rPr>
          <w:i/>
        </w:rPr>
        <w:t>Imagining</w:t>
      </w:r>
      <w:r w:rsidRPr="00F233DA">
        <w:t>, 45.</w:t>
      </w:r>
      <w:proofErr w:type="gramEnd"/>
      <w:r w:rsidRPr="00F233DA">
        <w:t xml:space="preserve"> The </w:t>
      </w:r>
      <w:proofErr w:type="spellStart"/>
      <w:r w:rsidRPr="00F233DA">
        <w:t>Bollandists</w:t>
      </w:r>
      <w:proofErr w:type="spellEnd"/>
      <w:r w:rsidRPr="00F233DA">
        <w:t xml:space="preserve"> gave a history of </w:t>
      </w:r>
      <w:proofErr w:type="spellStart"/>
      <w:r w:rsidRPr="00F233DA">
        <w:t>Nicasius</w:t>
      </w:r>
      <w:proofErr w:type="spellEnd"/>
      <w:r w:rsidRPr="00F233DA">
        <w:t xml:space="preserve"> and </w:t>
      </w:r>
      <w:proofErr w:type="spellStart"/>
      <w:r w:rsidRPr="00F233DA">
        <w:t>Pientia</w:t>
      </w:r>
      <w:proofErr w:type="spellEnd"/>
      <w:r w:rsidRPr="00F233DA">
        <w:t xml:space="preserve"> in the </w:t>
      </w:r>
      <w:proofErr w:type="spellStart"/>
      <w:r>
        <w:rPr>
          <w:i/>
        </w:rPr>
        <w:t>ActaSS</w:t>
      </w:r>
      <w:proofErr w:type="spellEnd"/>
      <w:r w:rsidRPr="00F233DA">
        <w:t xml:space="preserve"> </w:t>
      </w:r>
      <w:r w:rsidR="001C2929">
        <w:t xml:space="preserve"> </w:t>
      </w:r>
      <w:r w:rsidRPr="00F233DA">
        <w:t xml:space="preserve">but did not reproduce the </w:t>
      </w:r>
      <w:proofErr w:type="spellStart"/>
      <w:r w:rsidRPr="00EF277A">
        <w:rPr>
          <w:i/>
        </w:rPr>
        <w:t>Passio</w:t>
      </w:r>
      <w:proofErr w:type="spellEnd"/>
      <w:r w:rsidRPr="00EF277A">
        <w:rPr>
          <w:i/>
        </w:rPr>
        <w:t xml:space="preserve"> </w:t>
      </w:r>
      <w:proofErr w:type="spellStart"/>
      <w:r w:rsidRPr="00EF277A">
        <w:rPr>
          <w:i/>
        </w:rPr>
        <w:t>Nicasii</w:t>
      </w:r>
      <w:proofErr w:type="spellEnd"/>
      <w:r w:rsidR="00EB43AD">
        <w:t xml:space="preserve"> </w:t>
      </w:r>
      <w:proofErr w:type="spellStart"/>
      <w:r w:rsidR="00EB43AD" w:rsidRPr="00670CF8">
        <w:rPr>
          <w:i/>
          <w:szCs w:val="20"/>
        </w:rPr>
        <w:t>Acta</w:t>
      </w:r>
      <w:proofErr w:type="spellEnd"/>
      <w:r w:rsidR="00EB43AD" w:rsidRPr="00670CF8">
        <w:rPr>
          <w:i/>
          <w:szCs w:val="20"/>
        </w:rPr>
        <w:t xml:space="preserve"> Sanctorum</w:t>
      </w:r>
      <w:r w:rsidR="00EB43AD">
        <w:rPr>
          <w:szCs w:val="20"/>
        </w:rPr>
        <w:t xml:space="preserve">, </w:t>
      </w:r>
      <w:proofErr w:type="spellStart"/>
      <w:r w:rsidR="00EB43AD">
        <w:rPr>
          <w:szCs w:val="20"/>
        </w:rPr>
        <w:t>Octobris</w:t>
      </w:r>
      <w:proofErr w:type="spellEnd"/>
      <w:r w:rsidR="00EB43AD">
        <w:rPr>
          <w:szCs w:val="20"/>
        </w:rPr>
        <w:t xml:space="preserve"> V, 513, Dies XI </w:t>
      </w:r>
      <w:proofErr w:type="spellStart"/>
      <w:r w:rsidR="00EB43AD">
        <w:rPr>
          <w:szCs w:val="20"/>
        </w:rPr>
        <w:t>Octobris</w:t>
      </w:r>
      <w:proofErr w:type="spellEnd"/>
      <w:r w:rsidR="00EB43AD">
        <w:rPr>
          <w:szCs w:val="20"/>
        </w:rPr>
        <w:t xml:space="preserve">, </w:t>
      </w:r>
      <w:r w:rsidR="00EB43AD" w:rsidRPr="00670CF8">
        <w:rPr>
          <w:szCs w:val="20"/>
        </w:rPr>
        <w:t>http://</w:t>
      </w:r>
      <w:r w:rsidR="00EB43AD">
        <w:rPr>
          <w:szCs w:val="20"/>
        </w:rPr>
        <w:t>acta.chadwyck.co.uk [accessed June 26</w:t>
      </w:r>
      <w:r w:rsidR="00EB43AD" w:rsidRPr="00670CF8">
        <w:rPr>
          <w:szCs w:val="20"/>
        </w:rPr>
        <w:t xml:space="preserve">, </w:t>
      </w:r>
      <w:r w:rsidR="00EB43AD">
        <w:rPr>
          <w:szCs w:val="20"/>
        </w:rPr>
        <w:t>2015</w:t>
      </w:r>
      <w:r w:rsidR="00EB43AD" w:rsidRPr="00670CF8">
        <w:rPr>
          <w:szCs w:val="20"/>
        </w:rPr>
        <w:t>]</w:t>
      </w:r>
      <w:r w:rsidRPr="00F233DA">
        <w:t xml:space="preserve">Herrick notes that the text of the </w:t>
      </w:r>
      <w:proofErr w:type="spellStart"/>
      <w:r w:rsidRPr="00EF277A">
        <w:rPr>
          <w:i/>
        </w:rPr>
        <w:t>Passio</w:t>
      </w:r>
      <w:proofErr w:type="spellEnd"/>
      <w:r w:rsidRPr="00F233DA">
        <w:t xml:space="preserve"> is</w:t>
      </w:r>
      <w:r>
        <w:t xml:space="preserve"> accessible in part in the </w:t>
      </w:r>
      <w:proofErr w:type="spellStart"/>
      <w:r>
        <w:t>Bollandists</w:t>
      </w:r>
      <w:proofErr w:type="spellEnd"/>
      <w:r>
        <w:t>’ catalogues:</w:t>
      </w:r>
      <w:r w:rsidRPr="00F233DA">
        <w:t xml:space="preserve"> ‘L</w:t>
      </w:r>
      <w:r>
        <w:t xml:space="preserve">e </w:t>
      </w:r>
      <w:proofErr w:type="spellStart"/>
      <w:r>
        <w:t>pouvoir</w:t>
      </w:r>
      <w:proofErr w:type="spellEnd"/>
      <w:r>
        <w:t xml:space="preserve"> du passé </w:t>
      </w:r>
      <w:proofErr w:type="spellStart"/>
      <w:r>
        <w:t>apostoloique</w:t>
      </w:r>
      <w:proofErr w:type="spellEnd"/>
      <w:r w:rsidRPr="00F233DA">
        <w:t>’</w:t>
      </w:r>
      <w:r>
        <w:t>.</w:t>
      </w:r>
      <w:r w:rsidRPr="00F233DA">
        <w:t xml:space="preserve"> </w:t>
      </w:r>
      <w:proofErr w:type="gramStart"/>
      <w:r w:rsidRPr="00F233DA">
        <w:t>in</w:t>
      </w:r>
      <w:proofErr w:type="gramEnd"/>
      <w:r w:rsidRPr="00F233DA">
        <w:t xml:space="preserve"> </w:t>
      </w:r>
      <w:proofErr w:type="spellStart"/>
      <w:r w:rsidRPr="00F233DA">
        <w:rPr>
          <w:i/>
        </w:rPr>
        <w:t>Hagio</w:t>
      </w:r>
      <w:r>
        <w:rPr>
          <w:i/>
        </w:rPr>
        <w:t>graphie</w:t>
      </w:r>
      <w:proofErr w:type="spellEnd"/>
      <w:r>
        <w:rPr>
          <w:i/>
        </w:rPr>
        <w:t xml:space="preserve">, </w:t>
      </w:r>
      <w:proofErr w:type="spellStart"/>
      <w:r>
        <w:rPr>
          <w:i/>
        </w:rPr>
        <w:t>ideologie</w:t>
      </w:r>
      <w:proofErr w:type="spellEnd"/>
      <w:r>
        <w:rPr>
          <w:i/>
        </w:rPr>
        <w:t xml:space="preserve"> et </w:t>
      </w:r>
      <w:proofErr w:type="spellStart"/>
      <w:r>
        <w:rPr>
          <w:i/>
        </w:rPr>
        <w:t>politique</w:t>
      </w:r>
      <w:proofErr w:type="spellEnd"/>
      <w:r>
        <w:rPr>
          <w:i/>
        </w:rPr>
        <w:t xml:space="preserve"> au </w:t>
      </w:r>
      <w:proofErr w:type="spellStart"/>
      <w:r>
        <w:rPr>
          <w:i/>
        </w:rPr>
        <w:t>Moyen</w:t>
      </w:r>
      <w:proofErr w:type="spellEnd"/>
      <w:r>
        <w:rPr>
          <w:i/>
        </w:rPr>
        <w:t xml:space="preserve"> </w:t>
      </w:r>
      <w:proofErr w:type="spellStart"/>
      <w:r>
        <w:rPr>
          <w:i/>
        </w:rPr>
        <w:t>âge</w:t>
      </w:r>
      <w:proofErr w:type="spellEnd"/>
      <w:r>
        <w:rPr>
          <w:i/>
        </w:rPr>
        <w:t xml:space="preserve"> </w:t>
      </w:r>
      <w:proofErr w:type="spellStart"/>
      <w:r>
        <w:rPr>
          <w:i/>
        </w:rPr>
        <w:t>en</w:t>
      </w:r>
      <w:proofErr w:type="spellEnd"/>
      <w:r>
        <w:rPr>
          <w:i/>
        </w:rPr>
        <w:t xml:space="preserve"> Occident. </w:t>
      </w:r>
      <w:r w:rsidRPr="00163B0C">
        <w:rPr>
          <w:i/>
          <w:lang w:val="fr-FR"/>
        </w:rPr>
        <w:t>Actes du colloque international du Centre d’Études supérieures de Civilisation médiévale de Poitiers, 11–14 septembre 2008</w:t>
      </w:r>
      <w:r w:rsidRPr="00163B0C">
        <w:rPr>
          <w:lang w:val="fr-FR"/>
        </w:rPr>
        <w:t xml:space="preserve">, </w:t>
      </w:r>
      <w:proofErr w:type="spellStart"/>
      <w:r w:rsidRPr="00163B0C">
        <w:rPr>
          <w:lang w:val="fr-FR"/>
        </w:rPr>
        <w:t>ed</w:t>
      </w:r>
      <w:proofErr w:type="spellEnd"/>
      <w:r w:rsidRPr="00163B0C">
        <w:rPr>
          <w:lang w:val="fr-FR"/>
        </w:rPr>
        <w:t xml:space="preserve">. </w:t>
      </w:r>
      <w:r>
        <w:rPr>
          <w:lang w:val="fr-FR"/>
        </w:rPr>
        <w:t xml:space="preserve">E. </w:t>
      </w:r>
      <w:proofErr w:type="spellStart"/>
      <w:r>
        <w:rPr>
          <w:lang w:val="fr-FR"/>
        </w:rPr>
        <w:t>Bozóky</w:t>
      </w:r>
      <w:proofErr w:type="spellEnd"/>
      <w:r>
        <w:rPr>
          <w:lang w:val="fr-FR"/>
        </w:rPr>
        <w:t xml:space="preserve"> (Turnhout, 2012), 129–38, at 129 n.</w:t>
      </w:r>
      <w:r w:rsidRPr="00F233DA">
        <w:rPr>
          <w:lang w:val="fr-FR"/>
        </w:rPr>
        <w:t xml:space="preserve"> 2. The </w:t>
      </w:r>
      <w:r w:rsidRPr="00EF277A">
        <w:rPr>
          <w:i/>
          <w:lang w:val="fr-FR"/>
        </w:rPr>
        <w:t>Livre Noir</w:t>
      </w:r>
      <w:r w:rsidRPr="00F233DA">
        <w:rPr>
          <w:lang w:val="fr-FR"/>
        </w:rPr>
        <w:t xml:space="preserve"> at Saint-Ouen </w:t>
      </w:r>
      <w:proofErr w:type="spellStart"/>
      <w:r w:rsidRPr="00F233DA">
        <w:rPr>
          <w:lang w:val="fr-FR"/>
        </w:rPr>
        <w:t>is</w:t>
      </w:r>
      <w:proofErr w:type="spellEnd"/>
      <w:r w:rsidRPr="00F233DA">
        <w:rPr>
          <w:lang w:val="fr-FR"/>
        </w:rPr>
        <w:t xml:space="preserve"> </w:t>
      </w:r>
      <w:proofErr w:type="spellStart"/>
      <w:r w:rsidRPr="00F233DA">
        <w:rPr>
          <w:lang w:val="fr-FR"/>
        </w:rPr>
        <w:t>also</w:t>
      </w:r>
      <w:proofErr w:type="spellEnd"/>
      <w:r w:rsidRPr="00F233DA">
        <w:rPr>
          <w:lang w:val="fr-FR"/>
        </w:rPr>
        <w:t xml:space="preserve"> </w:t>
      </w:r>
      <w:proofErr w:type="spellStart"/>
      <w:r w:rsidR="00EB43AD">
        <w:rPr>
          <w:lang w:val="fr-FR"/>
        </w:rPr>
        <w:t>mentioned</w:t>
      </w:r>
      <w:proofErr w:type="spellEnd"/>
      <w:r w:rsidR="00EB43AD">
        <w:rPr>
          <w:lang w:val="fr-FR"/>
        </w:rPr>
        <w:t xml:space="preserve"> </w:t>
      </w:r>
      <w:r w:rsidRPr="00F233DA">
        <w:rPr>
          <w:lang w:val="fr-FR"/>
        </w:rPr>
        <w:t xml:space="preserve">in Lucile </w:t>
      </w:r>
      <w:proofErr w:type="spellStart"/>
      <w:r w:rsidRPr="00F233DA">
        <w:rPr>
          <w:lang w:val="fr-FR"/>
        </w:rPr>
        <w:t>Tran</w:t>
      </w:r>
      <w:proofErr w:type="spellEnd"/>
      <w:r w:rsidRPr="00F233DA">
        <w:rPr>
          <w:lang w:val="fr-FR"/>
        </w:rPr>
        <w:t xml:space="preserve">-Duc, ‘Enjeux de pouvoir dans le </w:t>
      </w:r>
      <w:r w:rsidRPr="00EF277A">
        <w:rPr>
          <w:i/>
          <w:lang w:val="fr-FR"/>
        </w:rPr>
        <w:t>Livre Noir</w:t>
      </w:r>
      <w:r w:rsidRPr="00F233DA">
        <w:rPr>
          <w:lang w:val="fr-FR"/>
        </w:rPr>
        <w:t xml:space="preserve"> </w:t>
      </w:r>
      <w:r>
        <w:rPr>
          <w:lang w:val="fr-FR"/>
        </w:rPr>
        <w:t>de l’abbaye Saint-Ouen de Rouen</w:t>
      </w:r>
      <w:r w:rsidRPr="00F233DA">
        <w:rPr>
          <w:lang w:val="fr-FR"/>
        </w:rPr>
        <w:t>’</w:t>
      </w:r>
      <w:r>
        <w:rPr>
          <w:lang w:val="fr-FR"/>
        </w:rPr>
        <w:t>,</w:t>
      </w:r>
      <w:r w:rsidRPr="00F233DA">
        <w:rPr>
          <w:lang w:val="fr-FR"/>
        </w:rPr>
        <w:t xml:space="preserve"> </w:t>
      </w:r>
      <w:r>
        <w:rPr>
          <w:lang w:val="fr-FR"/>
        </w:rPr>
        <w:t>ibid. 199–</w:t>
      </w:r>
      <w:r w:rsidRPr="00F233DA">
        <w:rPr>
          <w:lang w:val="fr-FR"/>
        </w:rPr>
        <w:t xml:space="preserve">210, at 200. </w:t>
      </w:r>
    </w:p>
  </w:footnote>
  <w:footnote w:id="29">
    <w:p w:rsidR="00C543E0" w:rsidRPr="00B4302F" w:rsidRDefault="00C543E0" w:rsidP="00A51E6E">
      <w:pPr>
        <w:pStyle w:val="SCHfootnote"/>
        <w:rPr>
          <w:lang w:val="fr-FR"/>
        </w:rPr>
      </w:pPr>
      <w:r w:rsidRPr="00B4302F">
        <w:rPr>
          <w:rStyle w:val="FootnoteReference"/>
        </w:rPr>
        <w:footnoteRef/>
      </w:r>
      <w:r>
        <w:rPr>
          <w:lang w:val="fr-FR"/>
        </w:rPr>
        <w:t xml:space="preserve"> </w:t>
      </w:r>
      <w:r w:rsidRPr="00B4302F">
        <w:rPr>
          <w:lang w:val="fr-FR"/>
        </w:rPr>
        <w:t>Louis Violette, ‘Nicaise, du mar</w:t>
      </w:r>
      <w:r>
        <w:rPr>
          <w:lang w:val="fr-FR"/>
        </w:rPr>
        <w:t>tyr du Vexin au Saint Rouennais.</w:t>
      </w:r>
      <w:r w:rsidRPr="00B4302F">
        <w:rPr>
          <w:lang w:val="fr-FR"/>
        </w:rPr>
        <w:t xml:space="preserve"> Valorisation des reliques </w:t>
      </w:r>
      <w:r>
        <w:rPr>
          <w:lang w:val="fr-FR"/>
        </w:rPr>
        <w:t>par l’hagiographie au XI</w:t>
      </w:r>
      <w:r w:rsidRPr="00E902FC">
        <w:rPr>
          <w:vertAlign w:val="superscript"/>
          <w:lang w:val="fr-FR"/>
        </w:rPr>
        <w:t>e</w:t>
      </w:r>
      <w:r>
        <w:rPr>
          <w:lang w:val="fr-FR"/>
        </w:rPr>
        <w:t xml:space="preserve"> siècle</w:t>
      </w:r>
      <w:r w:rsidRPr="00B4302F">
        <w:rPr>
          <w:lang w:val="fr-FR"/>
        </w:rPr>
        <w:t>’</w:t>
      </w:r>
      <w:r>
        <w:rPr>
          <w:lang w:val="fr-FR"/>
        </w:rPr>
        <w:t>,</w:t>
      </w:r>
      <w:r w:rsidRPr="00B4302F">
        <w:rPr>
          <w:lang w:val="fr-FR"/>
        </w:rPr>
        <w:t xml:space="preserve"> in </w:t>
      </w:r>
      <w:r w:rsidRPr="00E902FC">
        <w:rPr>
          <w:lang w:val="fr-FR"/>
        </w:rPr>
        <w:t xml:space="preserve">Olivier Dumoulin et Françoise </w:t>
      </w:r>
      <w:proofErr w:type="spellStart"/>
      <w:r w:rsidRPr="00E902FC">
        <w:rPr>
          <w:lang w:val="fr-FR"/>
        </w:rPr>
        <w:t>Thelamon</w:t>
      </w:r>
      <w:proofErr w:type="spellEnd"/>
      <w:r>
        <w:rPr>
          <w:lang w:val="fr-FR"/>
        </w:rPr>
        <w:t xml:space="preserve">, </w:t>
      </w:r>
      <w:proofErr w:type="spellStart"/>
      <w:r>
        <w:rPr>
          <w:lang w:val="fr-FR"/>
        </w:rPr>
        <w:t>eds</w:t>
      </w:r>
      <w:proofErr w:type="spellEnd"/>
      <w:r>
        <w:rPr>
          <w:lang w:val="fr-FR"/>
        </w:rPr>
        <w:t>,</w:t>
      </w:r>
      <w:r w:rsidRPr="00E902FC">
        <w:rPr>
          <w:i/>
          <w:lang w:val="fr-FR"/>
        </w:rPr>
        <w:t xml:space="preserve"> </w:t>
      </w:r>
      <w:r w:rsidRPr="00B4302F">
        <w:rPr>
          <w:i/>
          <w:lang w:val="fr-FR"/>
        </w:rPr>
        <w:t>Autour des morts: mémoire et identité</w:t>
      </w:r>
      <w:r>
        <w:rPr>
          <w:lang w:val="fr-FR"/>
        </w:rPr>
        <w:t xml:space="preserve"> (Rouen, 2001), 377–</w:t>
      </w:r>
      <w:r w:rsidRPr="00B4302F">
        <w:rPr>
          <w:lang w:val="fr-FR"/>
        </w:rPr>
        <w:t xml:space="preserve">86, at 377. </w:t>
      </w:r>
    </w:p>
  </w:footnote>
  <w:footnote w:id="30">
    <w:p w:rsidR="00C543E0" w:rsidRPr="006356D5" w:rsidRDefault="00C543E0" w:rsidP="00A51E6E">
      <w:pPr>
        <w:pStyle w:val="SCHfootnote"/>
        <w:rPr>
          <w:lang w:val="fr-FR"/>
        </w:rPr>
      </w:pPr>
      <w:r w:rsidRPr="00B4302F">
        <w:rPr>
          <w:rStyle w:val="FootnoteReference"/>
        </w:rPr>
        <w:footnoteRef/>
      </w:r>
      <w:r w:rsidRPr="006356D5">
        <w:rPr>
          <w:lang w:val="fr-FR"/>
        </w:rPr>
        <w:t xml:space="preserve"> Herrick, </w:t>
      </w:r>
      <w:proofErr w:type="spellStart"/>
      <w:r w:rsidRPr="006356D5">
        <w:rPr>
          <w:i/>
          <w:lang w:val="fr-FR"/>
        </w:rPr>
        <w:t>Imagining</w:t>
      </w:r>
      <w:proofErr w:type="spellEnd"/>
      <w:r w:rsidRPr="006356D5">
        <w:rPr>
          <w:lang w:val="fr-FR"/>
        </w:rPr>
        <w:t xml:space="preserve">, 149. </w:t>
      </w:r>
    </w:p>
  </w:footnote>
  <w:footnote w:id="31">
    <w:p w:rsidR="00C543E0" w:rsidRPr="00B4302F" w:rsidRDefault="00C543E0" w:rsidP="00A51E6E">
      <w:pPr>
        <w:pStyle w:val="SCHfootnote"/>
        <w:rPr>
          <w:lang w:val="fr-FR"/>
        </w:rPr>
      </w:pPr>
      <w:r w:rsidRPr="00B4302F">
        <w:rPr>
          <w:rStyle w:val="FootnoteReference"/>
        </w:rPr>
        <w:footnoteRef/>
      </w:r>
      <w:r>
        <w:rPr>
          <w:lang w:val="fr-FR"/>
        </w:rPr>
        <w:t xml:space="preserve"> </w:t>
      </w:r>
      <w:r w:rsidRPr="00B4302F">
        <w:rPr>
          <w:lang w:val="fr-FR"/>
        </w:rPr>
        <w:t xml:space="preserve">Émile Réaux, </w:t>
      </w:r>
      <w:r w:rsidRPr="00B4302F">
        <w:rPr>
          <w:i/>
          <w:lang w:val="fr-FR"/>
        </w:rPr>
        <w:t>Histoire de Meulan</w:t>
      </w:r>
      <w:r>
        <w:rPr>
          <w:lang w:val="fr-FR"/>
        </w:rPr>
        <w:t xml:space="preserve"> (Meulan, 1865), 40–</w:t>
      </w:r>
      <w:r w:rsidRPr="00B4302F">
        <w:rPr>
          <w:lang w:val="fr-FR"/>
        </w:rPr>
        <w:t>1.</w:t>
      </w:r>
      <w:r>
        <w:rPr>
          <w:lang w:val="fr-FR"/>
        </w:rPr>
        <w:t xml:space="preserve"> </w:t>
      </w:r>
    </w:p>
  </w:footnote>
  <w:footnote w:id="32">
    <w:p w:rsidR="00C543E0" w:rsidRPr="00CA54AA" w:rsidRDefault="00C543E0" w:rsidP="00A51E6E">
      <w:pPr>
        <w:pStyle w:val="SCHfootnote"/>
      </w:pPr>
      <w:r w:rsidRPr="00B4302F">
        <w:rPr>
          <w:rStyle w:val="FootnoteReference"/>
        </w:rPr>
        <w:footnoteRef/>
      </w:r>
      <w:r>
        <w:t xml:space="preserve"> </w:t>
      </w:r>
      <w:proofErr w:type="spellStart"/>
      <w:r w:rsidRPr="00773224">
        <w:t>Davanne</w:t>
      </w:r>
      <w:proofErr w:type="spellEnd"/>
      <w:r w:rsidRPr="00773224">
        <w:t xml:space="preserve">, </w:t>
      </w:r>
      <w:r w:rsidRPr="00773224">
        <w:rPr>
          <w:i/>
        </w:rPr>
        <w:t>Vie</w:t>
      </w:r>
      <w:r>
        <w:t>, 79–</w:t>
      </w:r>
      <w:r w:rsidRPr="00773224">
        <w:t xml:space="preserve">80. </w:t>
      </w:r>
    </w:p>
  </w:footnote>
  <w:footnote w:id="33">
    <w:p w:rsidR="00C543E0" w:rsidRPr="00A51E6E" w:rsidRDefault="00C543E0" w:rsidP="00A51E6E">
      <w:pPr>
        <w:pStyle w:val="SCHfootnote"/>
      </w:pPr>
      <w:r w:rsidRPr="00A51E6E">
        <w:rPr>
          <w:rStyle w:val="FootnoteReference"/>
        </w:rPr>
        <w:footnoteRef/>
      </w:r>
      <w:r>
        <w:t xml:space="preserve"> </w:t>
      </w:r>
      <w:proofErr w:type="gramStart"/>
      <w:r w:rsidRPr="00A51E6E">
        <w:t>Ibid</w:t>
      </w:r>
      <w:r>
        <w:t>. 87–92; 94–</w:t>
      </w:r>
      <w:r w:rsidRPr="00A51E6E">
        <w:t>101; their death at 102.</w:t>
      </w:r>
      <w:proofErr w:type="gramEnd"/>
      <w:r w:rsidRPr="00A51E6E">
        <w:t xml:space="preserve"> </w:t>
      </w:r>
    </w:p>
  </w:footnote>
  <w:footnote w:id="34">
    <w:p w:rsidR="00C543E0" w:rsidRPr="00A51E6E" w:rsidRDefault="00C543E0" w:rsidP="00A51E6E">
      <w:pPr>
        <w:pStyle w:val="SCHfootnote"/>
      </w:pPr>
      <w:r w:rsidRPr="00A51E6E">
        <w:rPr>
          <w:rStyle w:val="FootnoteReference"/>
        </w:rPr>
        <w:footnoteRef/>
      </w:r>
      <w:r>
        <w:t xml:space="preserve"> </w:t>
      </w:r>
      <w:proofErr w:type="gramStart"/>
      <w:r w:rsidRPr="00A51E6E">
        <w:t>Ibid</w:t>
      </w:r>
      <w:r>
        <w:t>. 104–</w:t>
      </w:r>
      <w:r w:rsidRPr="00A51E6E">
        <w:t>5.</w:t>
      </w:r>
      <w:proofErr w:type="gramEnd"/>
      <w:r w:rsidRPr="00A51E6E">
        <w:t xml:space="preserve"> </w:t>
      </w:r>
    </w:p>
  </w:footnote>
  <w:footnote w:id="35">
    <w:p w:rsidR="00C543E0" w:rsidRPr="00A51E6E" w:rsidRDefault="00C543E0" w:rsidP="00A51E6E">
      <w:pPr>
        <w:pStyle w:val="SCHfootnote"/>
      </w:pPr>
      <w:r w:rsidRPr="00A51E6E">
        <w:rPr>
          <w:rStyle w:val="FootnoteReference"/>
        </w:rPr>
        <w:footnoteRef/>
      </w:r>
      <w:r>
        <w:t xml:space="preserve"> </w:t>
      </w:r>
      <w:proofErr w:type="gramStart"/>
      <w:r>
        <w:t>Ibid.</w:t>
      </w:r>
      <w:r w:rsidRPr="00A51E6E">
        <w:t xml:space="preserve"> 106.</w:t>
      </w:r>
      <w:proofErr w:type="gramEnd"/>
      <w:r w:rsidRPr="00A51E6E">
        <w:t xml:space="preserve"> </w:t>
      </w:r>
    </w:p>
  </w:footnote>
  <w:footnote w:id="36">
    <w:p w:rsidR="00C543E0" w:rsidRPr="00A51E6E" w:rsidRDefault="00C543E0" w:rsidP="00A51E6E">
      <w:pPr>
        <w:pStyle w:val="SCHfootnote"/>
      </w:pPr>
      <w:r w:rsidRPr="00A51E6E">
        <w:rPr>
          <w:rStyle w:val="FootnoteReference"/>
        </w:rPr>
        <w:footnoteRef/>
      </w:r>
      <w:r>
        <w:t xml:space="preserve"> </w:t>
      </w:r>
      <w:r w:rsidRPr="00A51E6E">
        <w:t>Ibid</w:t>
      </w:r>
      <w:r>
        <w:t>. 87</w:t>
      </w:r>
      <w:r w:rsidRPr="00A51E6E">
        <w:t xml:space="preserve">–107. </w:t>
      </w:r>
    </w:p>
  </w:footnote>
  <w:footnote w:id="37">
    <w:p w:rsidR="00C543E0" w:rsidRPr="00A51E6E" w:rsidRDefault="00C543E0" w:rsidP="00A51E6E">
      <w:pPr>
        <w:pStyle w:val="SCHfootnote"/>
      </w:pPr>
      <w:r w:rsidRPr="00A51E6E">
        <w:rPr>
          <w:rStyle w:val="FootnoteReference"/>
        </w:rPr>
        <w:footnoteRef/>
      </w:r>
      <w:r>
        <w:t xml:space="preserve"> </w:t>
      </w:r>
      <w:proofErr w:type="gramStart"/>
      <w:r w:rsidRPr="00A51E6E">
        <w:t>Ibid</w:t>
      </w:r>
      <w:r>
        <w:t>. 50–</w:t>
      </w:r>
      <w:r w:rsidRPr="00A51E6E">
        <w:t>1.</w:t>
      </w:r>
      <w:proofErr w:type="gramEnd"/>
      <w:r w:rsidRPr="00A51E6E">
        <w:t xml:space="preserve"> </w:t>
      </w:r>
    </w:p>
  </w:footnote>
  <w:footnote w:id="38">
    <w:p w:rsidR="00C543E0" w:rsidRPr="00A51E6E" w:rsidRDefault="00C543E0" w:rsidP="00A51E6E">
      <w:pPr>
        <w:pStyle w:val="SCHfootnote"/>
      </w:pPr>
      <w:r w:rsidRPr="00A51E6E">
        <w:rPr>
          <w:rStyle w:val="FootnoteReference"/>
        </w:rPr>
        <w:footnoteRef/>
      </w:r>
      <w:r>
        <w:t xml:space="preserve"> </w:t>
      </w:r>
      <w:proofErr w:type="gramStart"/>
      <w:r w:rsidRPr="00A51E6E">
        <w:t>Ibid</w:t>
      </w:r>
      <w:r>
        <w:t>. 51–</w:t>
      </w:r>
      <w:r w:rsidRPr="00A51E6E">
        <w:t>2.</w:t>
      </w:r>
      <w:proofErr w:type="gramEnd"/>
      <w:r w:rsidRPr="00A51E6E">
        <w:t xml:space="preserve"> </w:t>
      </w:r>
    </w:p>
  </w:footnote>
  <w:footnote w:id="39">
    <w:p w:rsidR="00C543E0" w:rsidRPr="00A51E6E" w:rsidRDefault="00C543E0" w:rsidP="00A51E6E">
      <w:pPr>
        <w:pStyle w:val="SCHfootnote"/>
      </w:pPr>
      <w:r w:rsidRPr="00A51E6E">
        <w:rPr>
          <w:rStyle w:val="FootnoteReference"/>
        </w:rPr>
        <w:footnoteRef/>
      </w:r>
      <w:r>
        <w:t xml:space="preserve"> </w:t>
      </w:r>
      <w:proofErr w:type="gramStart"/>
      <w:r>
        <w:t>Ibid.</w:t>
      </w:r>
      <w:r w:rsidRPr="00A51E6E">
        <w:t xml:space="preserve"> 54.</w:t>
      </w:r>
      <w:proofErr w:type="gramEnd"/>
      <w:r w:rsidRPr="00A51E6E">
        <w:t xml:space="preserve"> </w:t>
      </w:r>
    </w:p>
  </w:footnote>
  <w:footnote w:id="40">
    <w:p w:rsidR="00C543E0" w:rsidRPr="00A51E6E" w:rsidRDefault="00C543E0" w:rsidP="00A51E6E">
      <w:pPr>
        <w:pStyle w:val="SCHfootnote"/>
      </w:pPr>
      <w:r w:rsidRPr="00A51E6E">
        <w:rPr>
          <w:rStyle w:val="FootnoteReference"/>
        </w:rPr>
        <w:footnoteRef/>
      </w:r>
      <w:r>
        <w:t xml:space="preserve"> </w:t>
      </w:r>
      <w:proofErr w:type="gramStart"/>
      <w:r>
        <w:t>Ibid.</w:t>
      </w:r>
      <w:r w:rsidRPr="00A51E6E">
        <w:t xml:space="preserve"> 89.</w:t>
      </w:r>
      <w:proofErr w:type="gramEnd"/>
      <w:r w:rsidRPr="00A51E6E">
        <w:t xml:space="preserve"> </w:t>
      </w:r>
    </w:p>
  </w:footnote>
  <w:footnote w:id="41">
    <w:p w:rsidR="00C543E0" w:rsidRPr="00A51E6E" w:rsidRDefault="00C543E0" w:rsidP="00A51E6E">
      <w:pPr>
        <w:pStyle w:val="SCHfootnote"/>
      </w:pPr>
      <w:r w:rsidRPr="00A51E6E">
        <w:rPr>
          <w:rStyle w:val="FootnoteReference"/>
        </w:rPr>
        <w:footnoteRef/>
      </w:r>
      <w:r>
        <w:t xml:space="preserve"> </w:t>
      </w:r>
      <w:proofErr w:type="gramStart"/>
      <w:r w:rsidRPr="00A51E6E">
        <w:t>Ibid</w:t>
      </w:r>
      <w:r>
        <w:t>. 92–</w:t>
      </w:r>
      <w:r w:rsidRPr="00A51E6E">
        <w:t>3.</w:t>
      </w:r>
      <w:proofErr w:type="gramEnd"/>
      <w:r w:rsidRPr="00A51E6E">
        <w:t xml:space="preserve"> </w:t>
      </w:r>
    </w:p>
  </w:footnote>
  <w:footnote w:id="42">
    <w:p w:rsidR="00C543E0" w:rsidRPr="009519B2" w:rsidRDefault="00C543E0" w:rsidP="00A51E6E">
      <w:pPr>
        <w:pStyle w:val="SCHfootnote"/>
      </w:pPr>
      <w:r w:rsidRPr="00A51E6E">
        <w:rPr>
          <w:rStyle w:val="FootnoteReference"/>
        </w:rPr>
        <w:footnoteRef/>
      </w:r>
      <w:r>
        <w:t xml:space="preserve"> Ibid. 26; 79–</w:t>
      </w:r>
      <w:r w:rsidRPr="00A51E6E">
        <w:t>80. Today, a nineteenth-century construction stands on the site of the earlier chapel</w:t>
      </w:r>
      <w:r>
        <w:t xml:space="preserve"> destroyed in the Revolution, depicting </w:t>
      </w:r>
      <w:proofErr w:type="spellStart"/>
      <w:r>
        <w:t>Nicasius</w:t>
      </w:r>
      <w:proofErr w:type="spellEnd"/>
      <w:r>
        <w:t xml:space="preserve"> by the side of the crucified Christ. </w:t>
      </w:r>
    </w:p>
  </w:footnote>
  <w:footnote w:id="43">
    <w:p w:rsidR="00C543E0" w:rsidRPr="003F4010" w:rsidRDefault="00C543E0" w:rsidP="00A51E6E">
      <w:pPr>
        <w:pStyle w:val="SCHfootnote"/>
      </w:pPr>
      <w:r w:rsidRPr="009519B2">
        <w:rPr>
          <w:rStyle w:val="FootnoteReference"/>
        </w:rPr>
        <w:footnoteRef/>
      </w:r>
      <w:r>
        <w:t xml:space="preserve"> </w:t>
      </w:r>
      <w:r w:rsidRPr="003F4010">
        <w:t xml:space="preserve">Elizabeth Tingle, ‘The Sacred Space of Julien </w:t>
      </w:r>
      <w:proofErr w:type="spellStart"/>
      <w:r w:rsidRPr="003F4010">
        <w:t>Maunoir</w:t>
      </w:r>
      <w:proofErr w:type="spellEnd"/>
      <w:r w:rsidRPr="003F4010">
        <w:t xml:space="preserve">: The Re-Christianising of the Landscape </w:t>
      </w:r>
      <w:r>
        <w:t>in Seventeenth-Century Brittany</w:t>
      </w:r>
      <w:r w:rsidRPr="003F4010">
        <w:t>’</w:t>
      </w:r>
      <w:r>
        <w:t>,</w:t>
      </w:r>
      <w:r w:rsidRPr="003F4010">
        <w:t xml:space="preserve"> in </w:t>
      </w:r>
      <w:r w:rsidRPr="00C543E0">
        <w:t xml:space="preserve">Will </w:t>
      </w:r>
      <w:proofErr w:type="spellStart"/>
      <w:r w:rsidRPr="00C543E0">
        <w:t>Coster</w:t>
      </w:r>
      <w:proofErr w:type="spellEnd"/>
      <w:r w:rsidRPr="00C543E0">
        <w:t xml:space="preserve"> and Andrew Spicer</w:t>
      </w:r>
      <w:r>
        <w:t xml:space="preserve">, </w:t>
      </w:r>
      <w:proofErr w:type="spellStart"/>
      <w:proofErr w:type="gramStart"/>
      <w:r>
        <w:t>eds</w:t>
      </w:r>
      <w:proofErr w:type="spellEnd"/>
      <w:proofErr w:type="gramEnd"/>
      <w:r>
        <w:t>,</w:t>
      </w:r>
      <w:r w:rsidRPr="00C543E0">
        <w:t xml:space="preserve"> </w:t>
      </w:r>
      <w:r w:rsidRPr="003F4010">
        <w:rPr>
          <w:i/>
        </w:rPr>
        <w:t>Sacred Space in Early Modern Europe</w:t>
      </w:r>
      <w:r w:rsidRPr="003F4010">
        <w:t xml:space="preserve"> (Cambridge</w:t>
      </w:r>
      <w:r>
        <w:t>, 2005), 237–</w:t>
      </w:r>
      <w:r w:rsidRPr="003F4010">
        <w:t xml:space="preserve">58, at 251. Devotion to sites such as this had been helping to create </w:t>
      </w:r>
      <w:r>
        <w:t>‘holy places’ for centuries: R. A. Markus, ‘How on Earth could Places become H</w:t>
      </w:r>
      <w:r w:rsidRPr="003F4010">
        <w:t>oly?</w:t>
      </w:r>
      <w:proofErr w:type="gramStart"/>
      <w:r w:rsidRPr="003F4010">
        <w:t>’</w:t>
      </w:r>
      <w:r>
        <w:t>,</w:t>
      </w:r>
      <w:proofErr w:type="gramEnd"/>
      <w:r w:rsidRPr="003F4010">
        <w:t xml:space="preserve"> </w:t>
      </w:r>
      <w:r>
        <w:rPr>
          <w:i/>
        </w:rPr>
        <w:t>JECS</w:t>
      </w:r>
      <w:r>
        <w:t xml:space="preserve"> 2 (1994), 257–</w:t>
      </w:r>
      <w:r w:rsidRPr="003F4010">
        <w:t xml:space="preserve">71, at 257. </w:t>
      </w:r>
    </w:p>
  </w:footnote>
  <w:footnote w:id="44">
    <w:p w:rsidR="00C543E0" w:rsidRPr="003F4010" w:rsidRDefault="00C543E0" w:rsidP="00A51E6E">
      <w:pPr>
        <w:pStyle w:val="SCHfootnote"/>
      </w:pPr>
      <w:r w:rsidRPr="003F4010">
        <w:rPr>
          <w:rStyle w:val="FootnoteReference"/>
        </w:rPr>
        <w:footnoteRef/>
      </w:r>
      <w:r w:rsidRPr="003F4010">
        <w:t xml:space="preserve"> Alexandra Walsham, ‘Sacred Topography and Social Memory: Religious Change and the Landscape in E</w:t>
      </w:r>
      <w:r>
        <w:t>arly Modern Britain and Ireland</w:t>
      </w:r>
      <w:r w:rsidRPr="003F4010">
        <w:t>’</w:t>
      </w:r>
      <w:r>
        <w:t>,</w:t>
      </w:r>
      <w:r w:rsidRPr="003F4010">
        <w:t xml:space="preserve"> </w:t>
      </w:r>
      <w:r>
        <w:rPr>
          <w:i/>
        </w:rPr>
        <w:t>JRH</w:t>
      </w:r>
      <w:r>
        <w:t xml:space="preserve"> 36 (2012), 31–</w:t>
      </w:r>
      <w:r w:rsidRPr="003F4010">
        <w:t xml:space="preserve">51, at 31; </w:t>
      </w:r>
      <w:proofErr w:type="spellStart"/>
      <w:r>
        <w:t>eadem</w:t>
      </w:r>
      <w:proofErr w:type="spellEnd"/>
      <w:r w:rsidRPr="003F4010">
        <w:t xml:space="preserve">, </w:t>
      </w:r>
      <w:r w:rsidRPr="003F4010">
        <w:rPr>
          <w:i/>
        </w:rPr>
        <w:t>The Reformation of the Landscape: Religion, Identity and Memory in Early Modern Britain and Ireland</w:t>
      </w:r>
      <w:r w:rsidRPr="003F4010">
        <w:t xml:space="preserve"> (Oxford</w:t>
      </w:r>
      <w:r>
        <w:t>, 2011), 223</w:t>
      </w:r>
      <w:r w:rsidRPr="003F4010">
        <w:t>– 225</w:t>
      </w:r>
      <w:r>
        <w:t>,</w:t>
      </w:r>
      <w:r w:rsidRPr="003F4010">
        <w:t xml:space="preserve"> on sites of martyrdom. </w:t>
      </w:r>
    </w:p>
  </w:footnote>
  <w:footnote w:id="45">
    <w:p w:rsidR="00C543E0" w:rsidRPr="00C020FB" w:rsidRDefault="00C543E0" w:rsidP="00A51E6E">
      <w:pPr>
        <w:pStyle w:val="SCHfootnote"/>
      </w:pPr>
      <w:r w:rsidRPr="003F4010">
        <w:rPr>
          <w:rStyle w:val="FootnoteReference"/>
        </w:rPr>
        <w:footnoteRef/>
      </w:r>
      <w:r>
        <w:t xml:space="preserve"> </w:t>
      </w:r>
      <w:r w:rsidRPr="003F4010">
        <w:t xml:space="preserve">Simon </w:t>
      </w:r>
      <w:proofErr w:type="spellStart"/>
      <w:r w:rsidRPr="003F4010">
        <w:t>Ditchfield</w:t>
      </w:r>
      <w:proofErr w:type="spellEnd"/>
      <w:r w:rsidRPr="003F4010">
        <w:t>, ‘What was Sacred History? (Mostly Roman) Catholic Uses of</w:t>
      </w:r>
      <w:r>
        <w:t xml:space="preserve"> the Christian Past After Trent</w:t>
      </w:r>
      <w:r w:rsidRPr="003F4010">
        <w:t>’</w:t>
      </w:r>
      <w:r>
        <w:t>,</w:t>
      </w:r>
      <w:r w:rsidRPr="003F4010">
        <w:t xml:space="preserve"> in </w:t>
      </w:r>
      <w:r w:rsidRPr="00C543E0">
        <w:t xml:space="preserve">Katherine Van </w:t>
      </w:r>
      <w:proofErr w:type="spellStart"/>
      <w:r w:rsidRPr="00C543E0">
        <w:t>Liere</w:t>
      </w:r>
      <w:proofErr w:type="spellEnd"/>
      <w:r w:rsidRPr="00C543E0">
        <w:t xml:space="preserve">, Simon </w:t>
      </w:r>
      <w:proofErr w:type="spellStart"/>
      <w:r w:rsidRPr="00C543E0">
        <w:t>Ditchfield</w:t>
      </w:r>
      <w:proofErr w:type="spellEnd"/>
      <w:r w:rsidRPr="00C543E0">
        <w:t xml:space="preserve"> and Howard </w:t>
      </w:r>
      <w:proofErr w:type="spellStart"/>
      <w:r w:rsidRPr="00C543E0">
        <w:t>Louthan</w:t>
      </w:r>
      <w:proofErr w:type="spellEnd"/>
      <w:r>
        <w:t xml:space="preserve">, </w:t>
      </w:r>
      <w:proofErr w:type="spellStart"/>
      <w:r>
        <w:t>eds</w:t>
      </w:r>
      <w:proofErr w:type="spellEnd"/>
      <w:r>
        <w:t>,</w:t>
      </w:r>
      <w:r w:rsidRPr="00C543E0">
        <w:t xml:space="preserve"> </w:t>
      </w:r>
      <w:r w:rsidRPr="003F4010">
        <w:rPr>
          <w:i/>
        </w:rPr>
        <w:t>Sacred History: Uses of the Christian</w:t>
      </w:r>
      <w:r>
        <w:rPr>
          <w:i/>
        </w:rPr>
        <w:t xml:space="preserve"> Past in the Renaissance World</w:t>
      </w:r>
      <w:r w:rsidRPr="003F4010">
        <w:t xml:space="preserve"> (Oxford, 2012)</w:t>
      </w:r>
      <w:r>
        <w:t xml:space="preserve">, 72–97, at 73. </w:t>
      </w:r>
    </w:p>
  </w:footnote>
  <w:footnote w:id="46">
    <w:p w:rsidR="00C543E0" w:rsidRPr="004213D9" w:rsidRDefault="00C543E0" w:rsidP="00A51E6E">
      <w:pPr>
        <w:pStyle w:val="SCHfootnote"/>
      </w:pPr>
      <w:r w:rsidRPr="004213D9">
        <w:rPr>
          <w:rStyle w:val="FootnoteReference"/>
        </w:rPr>
        <w:footnoteRef/>
      </w:r>
      <w:r>
        <w:t xml:space="preserve"> </w:t>
      </w:r>
      <w:r w:rsidRPr="004213D9">
        <w:t xml:space="preserve">Simon </w:t>
      </w:r>
      <w:proofErr w:type="spellStart"/>
      <w:r w:rsidRPr="004213D9">
        <w:t>Ditchfield</w:t>
      </w:r>
      <w:proofErr w:type="spellEnd"/>
      <w:r w:rsidRPr="004213D9">
        <w:t>,</w:t>
      </w:r>
      <w:r w:rsidRPr="004213D9">
        <w:rPr>
          <w:i/>
        </w:rPr>
        <w:t xml:space="preserve"> Liturgy, Sanctity and History in Tridentine Italy: Pietro Maria </w:t>
      </w:r>
      <w:proofErr w:type="spellStart"/>
      <w:r w:rsidRPr="004213D9">
        <w:rPr>
          <w:i/>
        </w:rPr>
        <w:t>Campi</w:t>
      </w:r>
      <w:proofErr w:type="spellEnd"/>
      <w:r w:rsidRPr="004213D9">
        <w:t xml:space="preserve"> </w:t>
      </w:r>
      <w:r w:rsidRPr="004213D9">
        <w:rPr>
          <w:i/>
        </w:rPr>
        <w:t>and the Preservation of the Particular</w:t>
      </w:r>
      <w:r w:rsidRPr="004213D9">
        <w:t xml:space="preserve"> (Cambridge</w:t>
      </w:r>
      <w:r>
        <w:t>, 1995);</w:t>
      </w:r>
      <w:r w:rsidRPr="004213D9">
        <w:t xml:space="preserve"> Howard </w:t>
      </w:r>
      <w:proofErr w:type="spellStart"/>
      <w:r w:rsidRPr="004213D9">
        <w:t>Louthan</w:t>
      </w:r>
      <w:proofErr w:type="spellEnd"/>
      <w:r w:rsidRPr="004213D9">
        <w:t xml:space="preserve">, </w:t>
      </w:r>
      <w:r w:rsidRPr="00C543E0">
        <w:rPr>
          <w:i/>
        </w:rPr>
        <w:t>Converting Bohemia: Force and Persuasion in the Catholic Reformation</w:t>
      </w:r>
      <w:r w:rsidRPr="004213D9">
        <w:t xml:space="preserve"> (Cambridge, 2009); A. Katie Harris, </w:t>
      </w:r>
      <w:r w:rsidRPr="004213D9">
        <w:rPr>
          <w:i/>
        </w:rPr>
        <w:t>From Muslim to Christian Granada: Inventing a City’s Past in Early Modern Spain</w:t>
      </w:r>
      <w:r w:rsidRPr="004213D9">
        <w:t xml:space="preserve"> (</w:t>
      </w:r>
      <w:r>
        <w:t>Baltimore, MD</w:t>
      </w:r>
      <w:r w:rsidRPr="004213D9">
        <w:t>, 2007). Kirstin Noreen also presents a convincing case for the Jesuit use o</w:t>
      </w:r>
      <w:r>
        <w:t>f early Christian martyrs:</w:t>
      </w:r>
      <w:r w:rsidRPr="004213D9">
        <w:t xml:space="preserve"> ‘Ecclesiae </w:t>
      </w:r>
      <w:proofErr w:type="spellStart"/>
      <w:r w:rsidRPr="004213D9">
        <w:t>Militantis</w:t>
      </w:r>
      <w:proofErr w:type="spellEnd"/>
      <w:r w:rsidRPr="004213D9">
        <w:t xml:space="preserve"> </w:t>
      </w:r>
      <w:proofErr w:type="spellStart"/>
      <w:r w:rsidRPr="004213D9">
        <w:t>Triumphi</w:t>
      </w:r>
      <w:proofErr w:type="spellEnd"/>
      <w:r w:rsidRPr="004213D9">
        <w:t>: Jesuit Iconogra</w:t>
      </w:r>
      <w:r>
        <w:t>phy and the Counter Reformation</w:t>
      </w:r>
      <w:r w:rsidRPr="004213D9">
        <w:t>’</w:t>
      </w:r>
      <w:r>
        <w:t>,</w:t>
      </w:r>
      <w:r w:rsidRPr="004213D9">
        <w:t xml:space="preserve"> </w:t>
      </w:r>
      <w:r>
        <w:rPr>
          <w:i/>
        </w:rPr>
        <w:t>SCJ</w:t>
      </w:r>
      <w:r w:rsidRPr="00A51E6E">
        <w:rPr>
          <w:i/>
        </w:rPr>
        <w:t xml:space="preserve"> </w:t>
      </w:r>
      <w:r w:rsidRPr="004213D9">
        <w:t>29 (</w:t>
      </w:r>
      <w:r>
        <w:t>1998), 698–</w:t>
      </w:r>
      <w:r w:rsidRPr="004213D9">
        <w:t xml:space="preserve">715. </w:t>
      </w:r>
    </w:p>
  </w:footnote>
  <w:footnote w:id="47">
    <w:p w:rsidR="00C543E0" w:rsidRPr="004213D9" w:rsidRDefault="00C543E0" w:rsidP="00A51E6E">
      <w:pPr>
        <w:pStyle w:val="SCHfootnote"/>
      </w:pPr>
      <w:r w:rsidRPr="004213D9">
        <w:rPr>
          <w:rStyle w:val="FootnoteReference"/>
        </w:rPr>
        <w:footnoteRef/>
      </w:r>
      <w:r>
        <w:t xml:space="preserve"> </w:t>
      </w:r>
      <w:proofErr w:type="spellStart"/>
      <w:proofErr w:type="gramStart"/>
      <w:r w:rsidRPr="004213D9">
        <w:t>Ditchfield</w:t>
      </w:r>
      <w:proofErr w:type="spellEnd"/>
      <w:r w:rsidRPr="004213D9">
        <w:t>,</w:t>
      </w:r>
      <w:r w:rsidRPr="004213D9">
        <w:rPr>
          <w:i/>
        </w:rPr>
        <w:t xml:space="preserve"> Liturgy, Sanctity and History</w:t>
      </w:r>
      <w:r w:rsidRPr="004213D9">
        <w:t>, 10</w:t>
      </w:r>
      <w:r>
        <w:t>.</w:t>
      </w:r>
      <w:proofErr w:type="gramEnd"/>
    </w:p>
  </w:footnote>
  <w:footnote w:id="48">
    <w:p w:rsidR="00C543E0" w:rsidRPr="006356D5" w:rsidRDefault="00C543E0" w:rsidP="00A51E6E">
      <w:pPr>
        <w:pStyle w:val="SCHfootnote"/>
        <w:rPr>
          <w:lang w:val="fr-FR"/>
        </w:rPr>
      </w:pPr>
      <w:r w:rsidRPr="004213D9">
        <w:rPr>
          <w:rStyle w:val="FootnoteReference"/>
        </w:rPr>
        <w:footnoteRef/>
      </w:r>
      <w:r w:rsidRPr="006356D5">
        <w:rPr>
          <w:lang w:val="fr-FR"/>
        </w:rPr>
        <w:t xml:space="preserve"> Ibid.</w:t>
      </w:r>
      <w:r w:rsidRPr="006356D5">
        <w:rPr>
          <w:i/>
          <w:lang w:val="fr-FR"/>
        </w:rPr>
        <w:t xml:space="preserve"> </w:t>
      </w:r>
      <w:r w:rsidRPr="006356D5">
        <w:rPr>
          <w:lang w:val="fr-FR"/>
        </w:rPr>
        <w:t xml:space="preserve">233–4. </w:t>
      </w:r>
    </w:p>
  </w:footnote>
  <w:footnote w:id="49">
    <w:p w:rsidR="00C543E0" w:rsidRPr="004213D9" w:rsidRDefault="00C543E0" w:rsidP="00A51E6E">
      <w:pPr>
        <w:pStyle w:val="SCHfootnote"/>
        <w:rPr>
          <w:lang w:val="fr-FR"/>
        </w:rPr>
      </w:pPr>
      <w:r w:rsidRPr="004213D9">
        <w:rPr>
          <w:rStyle w:val="FootnoteReference"/>
        </w:rPr>
        <w:footnoteRef/>
      </w:r>
      <w:r>
        <w:rPr>
          <w:lang w:val="fr-FR"/>
        </w:rPr>
        <w:t xml:space="preserve"> </w:t>
      </w:r>
      <w:r w:rsidRPr="004213D9">
        <w:rPr>
          <w:lang w:val="fr-FR"/>
        </w:rPr>
        <w:t xml:space="preserve">A. Collette, </w:t>
      </w:r>
      <w:r w:rsidRPr="004213D9">
        <w:rPr>
          <w:i/>
          <w:lang w:val="fr-FR"/>
        </w:rPr>
        <w:t>Histoire du Bréviaire de Rouen</w:t>
      </w:r>
      <w:r w:rsidRPr="004213D9">
        <w:rPr>
          <w:lang w:val="fr-FR"/>
        </w:rPr>
        <w:t xml:space="preserve"> (</w:t>
      </w:r>
      <w:r w:rsidRPr="004213D9">
        <w:rPr>
          <w:rStyle w:val="details-biblio-hidden-view-list2"/>
          <w:lang w:val="fr-FR"/>
        </w:rPr>
        <w:t>Rouen,</w:t>
      </w:r>
      <w:r w:rsidRPr="004213D9">
        <w:rPr>
          <w:lang w:val="fr-FR"/>
        </w:rPr>
        <w:t xml:space="preserve"> 1902), 233. </w:t>
      </w:r>
    </w:p>
  </w:footnote>
  <w:footnote w:id="50">
    <w:p w:rsidR="00C543E0" w:rsidRPr="00DE6085" w:rsidRDefault="00C543E0" w:rsidP="00A51E6E">
      <w:pPr>
        <w:pStyle w:val="SCHfootnote"/>
      </w:pPr>
      <w:r w:rsidRPr="004213D9">
        <w:rPr>
          <w:rStyle w:val="FootnoteReference"/>
        </w:rPr>
        <w:footnoteRef/>
      </w:r>
      <w:r>
        <w:t xml:space="preserve"> John </w:t>
      </w:r>
      <w:proofErr w:type="spellStart"/>
      <w:r>
        <w:t>McManners</w:t>
      </w:r>
      <w:proofErr w:type="spellEnd"/>
      <w:r>
        <w:t xml:space="preserve">, </w:t>
      </w:r>
      <w:r w:rsidRPr="00B541FF">
        <w:rPr>
          <w:i/>
        </w:rPr>
        <w:t>Church and Society in Eighteenth-Century France</w:t>
      </w:r>
      <w:r>
        <w:t xml:space="preserve">: </w:t>
      </w:r>
      <w:r w:rsidRPr="00DE6085">
        <w:rPr>
          <w:i/>
        </w:rPr>
        <w:t>The Religion of the People and the Politics of Religion</w:t>
      </w:r>
      <w:r>
        <w:t xml:space="preserve">, 2 </w:t>
      </w:r>
      <w:proofErr w:type="spellStart"/>
      <w:r>
        <w:t>vols</w:t>
      </w:r>
      <w:proofErr w:type="spellEnd"/>
      <w:r>
        <w:t xml:space="preserve"> (Oxford, 1998), 2: 45–50. </w:t>
      </w:r>
    </w:p>
  </w:footnote>
  <w:footnote w:id="51">
    <w:p w:rsidR="00C543E0" w:rsidRPr="00021937" w:rsidRDefault="00C543E0" w:rsidP="00A51E6E">
      <w:pPr>
        <w:pStyle w:val="SCHfootnote"/>
      </w:pPr>
      <w:r w:rsidRPr="004213D9">
        <w:rPr>
          <w:rStyle w:val="FootnoteReference"/>
        </w:rPr>
        <w:footnoteRef/>
      </w:r>
      <w:r>
        <w:t xml:space="preserve"> Martha Mel </w:t>
      </w:r>
      <w:proofErr w:type="spellStart"/>
      <w:r>
        <w:t>Stumberg</w:t>
      </w:r>
      <w:proofErr w:type="spellEnd"/>
      <w:r>
        <w:t xml:space="preserve"> Edmunds, </w:t>
      </w:r>
      <w:r w:rsidRPr="00021937">
        <w:rPr>
          <w:i/>
        </w:rPr>
        <w:t>Piety and Politics: Imaging Divine Kingship in Louis XIV’s Chapel at Versailles</w:t>
      </w:r>
      <w:r>
        <w:t xml:space="preserve"> (Newark, NJ, 2002), 267. </w:t>
      </w:r>
    </w:p>
  </w:footnote>
  <w:footnote w:id="52">
    <w:p w:rsidR="00C543E0" w:rsidRPr="006356D5" w:rsidRDefault="00C543E0" w:rsidP="00A51E6E">
      <w:pPr>
        <w:pStyle w:val="SCHfootnote"/>
      </w:pPr>
      <w:r w:rsidRPr="004213D9">
        <w:rPr>
          <w:rStyle w:val="FootnoteReference"/>
        </w:rPr>
        <w:footnoteRef/>
      </w:r>
      <w:r w:rsidRPr="006356D5">
        <w:t xml:space="preserve"> Collette, </w:t>
      </w:r>
      <w:r w:rsidRPr="006356D5">
        <w:rPr>
          <w:i/>
        </w:rPr>
        <w:t>Histoire</w:t>
      </w:r>
      <w:r w:rsidRPr="006356D5">
        <w:t xml:space="preserve">, 245. </w:t>
      </w:r>
    </w:p>
  </w:footnote>
  <w:footnote w:id="53">
    <w:p w:rsidR="00C543E0" w:rsidRPr="00837099" w:rsidRDefault="00C543E0" w:rsidP="00A51E6E">
      <w:pPr>
        <w:pStyle w:val="SCHfootnote"/>
      </w:pPr>
      <w:r w:rsidRPr="00837099">
        <w:rPr>
          <w:rStyle w:val="FootnoteReference"/>
        </w:rPr>
        <w:footnoteRef/>
      </w:r>
      <w:r>
        <w:t xml:space="preserve"> This edition survives in Paris,</w:t>
      </w:r>
      <w:r w:rsidRPr="00837099">
        <w:t xml:space="preserve"> </w:t>
      </w:r>
      <w:proofErr w:type="spellStart"/>
      <w:r w:rsidRPr="00837099">
        <w:t>Bibliothèque</w:t>
      </w:r>
      <w:proofErr w:type="spellEnd"/>
      <w:r w:rsidRPr="00837099">
        <w:t xml:space="preserve"> Saint Geneviève, </w:t>
      </w:r>
      <w:r>
        <w:t>8BB 1194 INV 1369,</w:t>
      </w:r>
      <w:r w:rsidRPr="00837099">
        <w:t xml:space="preserve"> </w:t>
      </w:r>
      <w:proofErr w:type="gramStart"/>
      <w:r w:rsidRPr="00837099">
        <w:t>8BB</w:t>
      </w:r>
      <w:proofErr w:type="gramEnd"/>
      <w:r w:rsidRPr="00837099">
        <w:t xml:space="preserve"> 1195 INV 1370</w:t>
      </w:r>
      <w:r>
        <w:t>.</w:t>
      </w:r>
    </w:p>
  </w:footnote>
  <w:footnote w:id="54">
    <w:p w:rsidR="00C543E0" w:rsidRPr="00751BC6" w:rsidRDefault="00C543E0" w:rsidP="00A51E6E">
      <w:pPr>
        <w:pStyle w:val="SCHfootnote"/>
      </w:pPr>
      <w:r w:rsidRPr="00751BC6">
        <w:rPr>
          <w:rStyle w:val="FootnoteReference"/>
        </w:rPr>
        <w:footnoteRef/>
      </w:r>
      <w:r>
        <w:t xml:space="preserve"> </w:t>
      </w:r>
      <w:r w:rsidRPr="00751BC6">
        <w:t xml:space="preserve">Peter Brown, </w:t>
      </w:r>
      <w:r w:rsidRPr="00751BC6">
        <w:rPr>
          <w:i/>
        </w:rPr>
        <w:t>The Cult of Saints: Its Rise and Function in Latin Christianity</w:t>
      </w:r>
      <w:r>
        <w:t xml:space="preserve">, </w:t>
      </w:r>
      <w:r w:rsidRPr="00751BC6">
        <w:t>2</w:t>
      </w:r>
      <w:r w:rsidRPr="00C543E0">
        <w:t>nd</w:t>
      </w:r>
      <w:r>
        <w:t xml:space="preserve"> </w:t>
      </w:r>
      <w:proofErr w:type="spellStart"/>
      <w:r>
        <w:t>edn</w:t>
      </w:r>
      <w:proofErr w:type="spellEnd"/>
      <w:r>
        <w:t xml:space="preserve"> (London</w:t>
      </w:r>
      <w:r w:rsidRPr="00751BC6">
        <w:t xml:space="preserve">, 2015), 34; Sean Lafferty, ‘Ad </w:t>
      </w:r>
      <w:proofErr w:type="spellStart"/>
      <w:r w:rsidRPr="00751BC6">
        <w:t>Sanctitatem</w:t>
      </w:r>
      <w:proofErr w:type="spellEnd"/>
      <w:r w:rsidRPr="00751BC6">
        <w:t xml:space="preserve"> </w:t>
      </w:r>
      <w:proofErr w:type="spellStart"/>
      <w:r w:rsidRPr="00751BC6">
        <w:t>Mortuorum</w:t>
      </w:r>
      <w:proofErr w:type="spellEnd"/>
      <w:r w:rsidRPr="00751BC6">
        <w:t xml:space="preserve">: Tomb Raiders, Body Snatchers and </w:t>
      </w:r>
      <w:r>
        <w:t>Relic Hunters in Late Antiquity</w:t>
      </w:r>
      <w:r w:rsidRPr="00751BC6">
        <w:t>’</w:t>
      </w:r>
      <w:r>
        <w:t>,</w:t>
      </w:r>
      <w:r w:rsidRPr="00751BC6">
        <w:t xml:space="preserve"> </w:t>
      </w:r>
      <w:r>
        <w:rPr>
          <w:i/>
        </w:rPr>
        <w:t>EME</w:t>
      </w:r>
      <w:r>
        <w:t xml:space="preserve"> 22 (2014), 249–</w:t>
      </w:r>
      <w:r w:rsidRPr="00751BC6">
        <w:t xml:space="preserve">79, at 266. </w:t>
      </w:r>
    </w:p>
  </w:footnote>
  <w:footnote w:id="55">
    <w:p w:rsidR="00C543E0" w:rsidRPr="00751BC6" w:rsidRDefault="00C543E0" w:rsidP="00A51E6E">
      <w:pPr>
        <w:pStyle w:val="SCHfootnote"/>
      </w:pPr>
      <w:r w:rsidRPr="00751BC6">
        <w:rPr>
          <w:rStyle w:val="FootnoteReference"/>
        </w:rPr>
        <w:footnoteRef/>
      </w:r>
      <w:r>
        <w:t xml:space="preserve"> </w:t>
      </w:r>
      <w:r w:rsidRPr="00751BC6">
        <w:t xml:space="preserve">Simon </w:t>
      </w:r>
      <w:proofErr w:type="spellStart"/>
      <w:r w:rsidRPr="00751BC6">
        <w:t>Ditchfield</w:t>
      </w:r>
      <w:proofErr w:type="spellEnd"/>
      <w:r w:rsidRPr="00751BC6">
        <w:t xml:space="preserve">, </w:t>
      </w:r>
      <w:r>
        <w:t>‘</w:t>
      </w:r>
      <w:r w:rsidRPr="00751BC6">
        <w:t>Thinking with Saints</w:t>
      </w:r>
      <w:r>
        <w:t xml:space="preserve">: Sanctity and Society in the Early Modern World’, </w:t>
      </w:r>
      <w:r w:rsidRPr="00751BC6">
        <w:rPr>
          <w:i/>
        </w:rPr>
        <w:t>Critical Inquiry</w:t>
      </w:r>
      <w:r>
        <w:t xml:space="preserve"> 35 (2009), 552–84, at 555–9; Keith P. Luria, </w:t>
      </w:r>
      <w:r w:rsidRPr="00891DFA">
        <w:rPr>
          <w:i/>
        </w:rPr>
        <w:t>Territories of Grace: Cultural Change in the Seventeenth-Century Diocese of Grenoble</w:t>
      </w:r>
      <w:r>
        <w:t xml:space="preserve"> (Berkeley, CA, 1991), 115. Scholars have also noted how the elite constructed private crypts and chapels in parish churches to participate in local devotions in the</w:t>
      </w:r>
      <w:r w:rsidR="00CF40FE">
        <w:t xml:space="preserve"> Counter-Reformation era:</w:t>
      </w:r>
      <w:r>
        <w:t xml:space="preserve"> Elizabeth C. Tingle, </w:t>
      </w:r>
      <w:r w:rsidRPr="008F5372">
        <w:rPr>
          <w:i/>
        </w:rPr>
        <w:t>Pur</w:t>
      </w:r>
      <w:r>
        <w:rPr>
          <w:i/>
        </w:rPr>
        <w:t xml:space="preserve">gatory and Piety in Brittany </w:t>
      </w:r>
      <w:r w:rsidRPr="009501FC">
        <w:t>c.</w:t>
      </w:r>
      <w:r w:rsidR="00CF40FE">
        <w:rPr>
          <w:i/>
        </w:rPr>
        <w:t>1480–</w:t>
      </w:r>
      <w:r w:rsidRPr="008F5372">
        <w:rPr>
          <w:i/>
        </w:rPr>
        <w:t>1720</w:t>
      </w:r>
      <w:r>
        <w:t xml:space="preserve"> (Aldershot, 2012). </w:t>
      </w:r>
    </w:p>
  </w:footnote>
  <w:footnote w:id="56">
    <w:p w:rsidR="00C543E0" w:rsidRPr="00163B0C" w:rsidRDefault="00C543E0" w:rsidP="00A51E6E">
      <w:pPr>
        <w:pStyle w:val="SCHfootnote"/>
        <w:rPr>
          <w:lang w:val="fr-FR"/>
        </w:rPr>
      </w:pPr>
      <w:r w:rsidRPr="00751BC6">
        <w:rPr>
          <w:rStyle w:val="FootnoteReference"/>
        </w:rPr>
        <w:footnoteRef/>
      </w:r>
      <w:r>
        <w:rPr>
          <w:lang w:val="fr-FR"/>
        </w:rPr>
        <w:t xml:space="preserve"> </w:t>
      </w:r>
      <w:r w:rsidRPr="00197253">
        <w:rPr>
          <w:lang w:val="fr-FR"/>
        </w:rPr>
        <w:t>Cécile Davy-</w:t>
      </w:r>
      <w:proofErr w:type="spellStart"/>
      <w:r w:rsidRPr="00197253">
        <w:rPr>
          <w:lang w:val="fr-FR"/>
        </w:rPr>
        <w:t>Rigau</w:t>
      </w:r>
      <w:r w:rsidR="00CF40FE">
        <w:rPr>
          <w:lang w:val="fr-FR"/>
        </w:rPr>
        <w:t>x</w:t>
      </w:r>
      <w:proofErr w:type="spellEnd"/>
      <w:r w:rsidR="00CF40FE">
        <w:rPr>
          <w:lang w:val="fr-FR"/>
        </w:rPr>
        <w:t>, ‘Charpentier Plain-</w:t>
      </w:r>
      <w:proofErr w:type="spellStart"/>
      <w:r w:rsidR="00CF40FE">
        <w:rPr>
          <w:lang w:val="fr-FR"/>
        </w:rPr>
        <w:t>Chantiste</w:t>
      </w:r>
      <w:proofErr w:type="spellEnd"/>
      <w:r w:rsidRPr="00197253">
        <w:rPr>
          <w:lang w:val="fr-FR"/>
        </w:rPr>
        <w:t>’</w:t>
      </w:r>
      <w:r w:rsidR="00CF40FE">
        <w:rPr>
          <w:lang w:val="fr-FR"/>
        </w:rPr>
        <w:t>,</w:t>
      </w:r>
      <w:r w:rsidRPr="00197253">
        <w:rPr>
          <w:lang w:val="fr-FR"/>
        </w:rPr>
        <w:t xml:space="preserve"> in</w:t>
      </w:r>
      <w:r w:rsidR="00CF40FE">
        <w:rPr>
          <w:lang w:val="fr-FR"/>
        </w:rPr>
        <w:t xml:space="preserve"> </w:t>
      </w:r>
      <w:r w:rsidR="00CF40FE" w:rsidRPr="00163B0C">
        <w:rPr>
          <w:lang w:val="fr-FR"/>
        </w:rPr>
        <w:t xml:space="preserve">C. </w:t>
      </w:r>
      <w:proofErr w:type="spellStart"/>
      <w:r w:rsidR="00CF40FE" w:rsidRPr="00163B0C">
        <w:rPr>
          <w:lang w:val="fr-FR"/>
        </w:rPr>
        <w:t>Cessac</w:t>
      </w:r>
      <w:proofErr w:type="spellEnd"/>
      <w:r w:rsidR="00CF40FE" w:rsidRPr="00163B0C">
        <w:rPr>
          <w:lang w:val="fr-FR"/>
        </w:rPr>
        <w:t xml:space="preserve">, </w:t>
      </w:r>
      <w:proofErr w:type="spellStart"/>
      <w:proofErr w:type="gramStart"/>
      <w:r w:rsidR="00CF40FE" w:rsidRPr="00163B0C">
        <w:rPr>
          <w:lang w:val="fr-FR"/>
        </w:rPr>
        <w:t>ed</w:t>
      </w:r>
      <w:proofErr w:type="spellEnd"/>
      <w:r w:rsidR="00CF40FE" w:rsidRPr="00163B0C">
        <w:rPr>
          <w:lang w:val="fr-FR"/>
        </w:rPr>
        <w:t>.,</w:t>
      </w:r>
      <w:proofErr w:type="gramEnd"/>
      <w:r w:rsidRPr="00197253">
        <w:rPr>
          <w:lang w:val="fr-FR"/>
        </w:rPr>
        <w:t xml:space="preserve"> </w:t>
      </w:r>
      <w:r w:rsidR="00CF40FE">
        <w:rPr>
          <w:i/>
          <w:lang w:val="fr-FR"/>
        </w:rPr>
        <w:t>Les M</w:t>
      </w:r>
      <w:r w:rsidRPr="00197253">
        <w:rPr>
          <w:i/>
          <w:lang w:val="fr-FR"/>
        </w:rPr>
        <w:t>anuscrits autographes de Marc-Antoine Charpentier</w:t>
      </w:r>
      <w:r w:rsidRPr="00197253">
        <w:rPr>
          <w:lang w:val="fr-FR"/>
        </w:rPr>
        <w:t xml:space="preserve"> </w:t>
      </w:r>
      <w:r w:rsidRPr="00163B0C">
        <w:rPr>
          <w:lang w:val="fr-FR"/>
        </w:rPr>
        <w:t xml:space="preserve">(Wavre, 2007), 239–50, at 239. </w:t>
      </w:r>
    </w:p>
  </w:footnote>
  <w:footnote w:id="57">
    <w:p w:rsidR="00C543E0" w:rsidRPr="00197253" w:rsidRDefault="00C543E0" w:rsidP="00A51E6E">
      <w:pPr>
        <w:pStyle w:val="SCHfootnote"/>
      </w:pPr>
      <w:r w:rsidRPr="00197253">
        <w:rPr>
          <w:rStyle w:val="FootnoteReference"/>
        </w:rPr>
        <w:footnoteRef/>
      </w:r>
      <w:r w:rsidRPr="00197253">
        <w:t xml:space="preserve"> </w:t>
      </w:r>
      <w:proofErr w:type="spellStart"/>
      <w:r w:rsidRPr="00197253">
        <w:t>Davanne’s</w:t>
      </w:r>
      <w:proofErr w:type="spellEnd"/>
      <w:r w:rsidRPr="00197253">
        <w:t xml:space="preserve"> sketches and notes on the history of the monastery of S</w:t>
      </w:r>
      <w:r w:rsidR="00CF40FE">
        <w:t>aint-</w:t>
      </w:r>
      <w:proofErr w:type="spellStart"/>
      <w:r w:rsidR="00CF40FE">
        <w:t>Nicaise</w:t>
      </w:r>
      <w:proofErr w:type="spellEnd"/>
      <w:r w:rsidR="00CF40FE">
        <w:t>, now archived in</w:t>
      </w:r>
      <w:r w:rsidRPr="00197253">
        <w:t xml:space="preserve"> </w:t>
      </w:r>
      <w:proofErr w:type="spellStart"/>
      <w:r w:rsidR="00CF40FE">
        <w:t>Montigny</w:t>
      </w:r>
      <w:proofErr w:type="spellEnd"/>
      <w:r w:rsidR="00CF40FE">
        <w:t>-le-</w:t>
      </w:r>
      <w:proofErr w:type="spellStart"/>
      <w:r w:rsidR="00CF40FE">
        <w:t>Bretonneux</w:t>
      </w:r>
      <w:proofErr w:type="spellEnd"/>
      <w:r w:rsidR="00CF40FE">
        <w:t xml:space="preserve">, Archives </w:t>
      </w:r>
      <w:proofErr w:type="spellStart"/>
      <w:r w:rsidR="00CF40FE">
        <w:t>départementales</w:t>
      </w:r>
      <w:proofErr w:type="spellEnd"/>
      <w:r w:rsidR="00CF40FE">
        <w:t xml:space="preserve"> des Yvelines, </w:t>
      </w:r>
      <w:proofErr w:type="spellStart"/>
      <w:r w:rsidR="00CF40FE">
        <w:t>fonds</w:t>
      </w:r>
      <w:proofErr w:type="spellEnd"/>
      <w:r w:rsidR="00CF40FE">
        <w:t xml:space="preserve"> 24H, were drawn upon by Victor </w:t>
      </w:r>
      <w:proofErr w:type="spellStart"/>
      <w:r w:rsidR="00CF40FE">
        <w:t>Cotron</w:t>
      </w:r>
      <w:proofErr w:type="spellEnd"/>
      <w:r w:rsidR="00CF40FE">
        <w:t xml:space="preserve"> – </w:t>
      </w:r>
      <w:r w:rsidRPr="00197253">
        <w:t>prior of the monastery between 1669 and</w:t>
      </w:r>
      <w:r w:rsidR="00CF40FE">
        <w:t xml:space="preserve"> 1672 – whose </w:t>
      </w:r>
      <w:proofErr w:type="spellStart"/>
      <w:r w:rsidR="00CF40FE" w:rsidRPr="00CF40FE">
        <w:rPr>
          <w:i/>
        </w:rPr>
        <w:t>Chronique</w:t>
      </w:r>
      <w:proofErr w:type="spellEnd"/>
      <w:r w:rsidR="00CF40FE" w:rsidRPr="00CF40FE">
        <w:rPr>
          <w:i/>
        </w:rPr>
        <w:t xml:space="preserve"> de saint </w:t>
      </w:r>
      <w:proofErr w:type="spellStart"/>
      <w:r w:rsidR="00CF40FE" w:rsidRPr="00CF40FE">
        <w:rPr>
          <w:i/>
        </w:rPr>
        <w:t>Nicaise</w:t>
      </w:r>
      <w:proofErr w:type="spellEnd"/>
      <w:r w:rsidRPr="00197253">
        <w:t xml:space="preserve"> was a ‘preparatory work’ for the </w:t>
      </w:r>
      <w:r w:rsidRPr="00197253">
        <w:rPr>
          <w:i/>
        </w:rPr>
        <w:t>Gallia Christiana</w:t>
      </w:r>
      <w:r w:rsidR="00CF40FE">
        <w:t>:</w:t>
      </w:r>
      <w:r>
        <w:t xml:space="preserve"> </w:t>
      </w:r>
      <w:r w:rsidRPr="00197253">
        <w:t xml:space="preserve">Madeleine Arnold </w:t>
      </w:r>
      <w:proofErr w:type="spellStart"/>
      <w:r w:rsidRPr="00197253">
        <w:t>Tétard</w:t>
      </w:r>
      <w:proofErr w:type="spellEnd"/>
      <w:r w:rsidRPr="00197253">
        <w:t xml:space="preserve">, </w:t>
      </w:r>
      <w:r w:rsidRPr="00197253">
        <w:rPr>
          <w:i/>
        </w:rPr>
        <w:t xml:space="preserve">Histoire de la vie </w:t>
      </w:r>
      <w:proofErr w:type="spellStart"/>
      <w:r w:rsidRPr="00197253">
        <w:rPr>
          <w:i/>
        </w:rPr>
        <w:t>religieuse</w:t>
      </w:r>
      <w:proofErr w:type="spellEnd"/>
      <w:r w:rsidRPr="00197253">
        <w:rPr>
          <w:i/>
        </w:rPr>
        <w:t xml:space="preserve"> à </w:t>
      </w:r>
      <w:proofErr w:type="spellStart"/>
      <w:r w:rsidRPr="00197253">
        <w:rPr>
          <w:i/>
        </w:rPr>
        <w:t>Meulan</w:t>
      </w:r>
      <w:proofErr w:type="spellEnd"/>
      <w:r w:rsidRPr="00197253">
        <w:t xml:space="preserve"> (</w:t>
      </w:r>
      <w:proofErr w:type="spellStart"/>
      <w:r w:rsidRPr="00197253">
        <w:t>Juziers</w:t>
      </w:r>
      <w:proofErr w:type="spellEnd"/>
      <w:r w:rsidRPr="00197253">
        <w:t xml:space="preserve">, 2009), 10. </w:t>
      </w:r>
    </w:p>
  </w:footnote>
  <w:footnote w:id="58">
    <w:p w:rsidR="00C543E0" w:rsidRPr="0013575D" w:rsidRDefault="00C543E0" w:rsidP="00A51E6E">
      <w:pPr>
        <w:pStyle w:val="SCHfootnote"/>
      </w:pPr>
      <w:r w:rsidRPr="0013575D">
        <w:rPr>
          <w:rStyle w:val="FootnoteReference"/>
        </w:rPr>
        <w:footnoteRef/>
      </w:r>
      <w:r w:rsidRPr="0013575D">
        <w:t xml:space="preserve"> The interest of the Port-Royalists in the early Christians has been explored in Bruno </w:t>
      </w:r>
      <w:proofErr w:type="spellStart"/>
      <w:r w:rsidRPr="0013575D">
        <w:t>N</w:t>
      </w:r>
      <w:r w:rsidR="00CF40FE">
        <w:t>eveu</w:t>
      </w:r>
      <w:proofErr w:type="spellEnd"/>
      <w:r w:rsidR="00CF40FE">
        <w:t xml:space="preserve">, </w:t>
      </w:r>
      <w:proofErr w:type="spellStart"/>
      <w:r w:rsidRPr="0013575D">
        <w:rPr>
          <w:i/>
        </w:rPr>
        <w:t>Érudition</w:t>
      </w:r>
      <w:proofErr w:type="spellEnd"/>
      <w:r w:rsidRPr="0013575D">
        <w:rPr>
          <w:i/>
        </w:rPr>
        <w:t xml:space="preserve"> </w:t>
      </w:r>
      <w:proofErr w:type="gramStart"/>
      <w:r w:rsidRPr="0013575D">
        <w:rPr>
          <w:i/>
        </w:rPr>
        <w:t>et</w:t>
      </w:r>
      <w:proofErr w:type="gramEnd"/>
      <w:r w:rsidRPr="0013575D">
        <w:rPr>
          <w:i/>
        </w:rPr>
        <w:t xml:space="preserve"> religion aux </w:t>
      </w:r>
      <w:proofErr w:type="spellStart"/>
      <w:r w:rsidRPr="0013575D">
        <w:rPr>
          <w:i/>
        </w:rPr>
        <w:t>XVII</w:t>
      </w:r>
      <w:r w:rsidRPr="00CF40FE">
        <w:rPr>
          <w:i/>
          <w:vertAlign w:val="superscript"/>
        </w:rPr>
        <w:t>e</w:t>
      </w:r>
      <w:proofErr w:type="spellEnd"/>
      <w:r w:rsidRPr="0013575D">
        <w:rPr>
          <w:i/>
        </w:rPr>
        <w:t xml:space="preserve"> et </w:t>
      </w:r>
      <w:proofErr w:type="spellStart"/>
      <w:r w:rsidRPr="0013575D">
        <w:rPr>
          <w:i/>
        </w:rPr>
        <w:t>XVIII</w:t>
      </w:r>
      <w:r w:rsidRPr="00CF40FE">
        <w:rPr>
          <w:i/>
          <w:vertAlign w:val="superscript"/>
        </w:rPr>
        <w:t>e</w:t>
      </w:r>
      <w:proofErr w:type="spellEnd"/>
      <w:r w:rsidRPr="0013575D">
        <w:rPr>
          <w:i/>
        </w:rPr>
        <w:t xml:space="preserve"> siècles</w:t>
      </w:r>
      <w:r w:rsidRPr="0013575D">
        <w:t xml:space="preserve"> </w:t>
      </w:r>
      <w:r w:rsidR="00CF40FE">
        <w:t>(Paris, 1994);</w:t>
      </w:r>
      <w:r w:rsidRPr="0013575D">
        <w:t xml:space="preserve"> </w:t>
      </w:r>
      <w:r w:rsidR="00CF40FE" w:rsidRPr="00CF40FE">
        <w:t xml:space="preserve">Jean-Louis </w:t>
      </w:r>
      <w:proofErr w:type="spellStart"/>
      <w:r w:rsidR="00CF40FE" w:rsidRPr="00CF40FE">
        <w:t>Quantin</w:t>
      </w:r>
      <w:proofErr w:type="spellEnd"/>
      <w:r w:rsidR="00CF40FE" w:rsidRPr="00CF40FE">
        <w:t xml:space="preserve">, </w:t>
      </w:r>
      <w:r w:rsidR="00CF40FE">
        <w:rPr>
          <w:i/>
        </w:rPr>
        <w:t xml:space="preserve">Le </w:t>
      </w:r>
      <w:proofErr w:type="spellStart"/>
      <w:r w:rsidR="00CF40FE">
        <w:rPr>
          <w:i/>
        </w:rPr>
        <w:t>R</w:t>
      </w:r>
      <w:r w:rsidRPr="0013575D">
        <w:rPr>
          <w:i/>
        </w:rPr>
        <w:t>igorisme</w:t>
      </w:r>
      <w:proofErr w:type="spellEnd"/>
      <w:r w:rsidRPr="0013575D">
        <w:rPr>
          <w:i/>
        </w:rPr>
        <w:t xml:space="preserve"> </w:t>
      </w:r>
      <w:proofErr w:type="spellStart"/>
      <w:r w:rsidRPr="0013575D">
        <w:rPr>
          <w:i/>
        </w:rPr>
        <w:t>chrétien</w:t>
      </w:r>
      <w:proofErr w:type="spellEnd"/>
      <w:r w:rsidRPr="0013575D">
        <w:t xml:space="preserve"> (Paris</w:t>
      </w:r>
      <w:r w:rsidRPr="0013575D">
        <w:rPr>
          <w:rFonts w:eastAsia="Arial Unicode MS"/>
        </w:rPr>
        <w:t>,</w:t>
      </w:r>
      <w:r w:rsidRPr="0013575D">
        <w:t xml:space="preserve"> 2001). </w:t>
      </w:r>
    </w:p>
  </w:footnote>
  <w:footnote w:id="59">
    <w:p w:rsidR="00C543E0" w:rsidRPr="00516C47" w:rsidRDefault="00C543E0" w:rsidP="00A51E6E">
      <w:pPr>
        <w:pStyle w:val="SCHfootnote"/>
        <w:rPr>
          <w:szCs w:val="20"/>
        </w:rPr>
      </w:pPr>
      <w:r w:rsidRPr="00177B86">
        <w:rPr>
          <w:rStyle w:val="FootnoteReference"/>
          <w:szCs w:val="20"/>
        </w:rPr>
        <w:footnoteRef/>
      </w:r>
      <w:r>
        <w:rPr>
          <w:szCs w:val="20"/>
        </w:rPr>
        <w:t xml:space="preserve"> </w:t>
      </w:r>
      <w:r w:rsidRPr="00177B86">
        <w:rPr>
          <w:szCs w:val="20"/>
        </w:rPr>
        <w:t>B</w:t>
      </w:r>
      <w:r>
        <w:rPr>
          <w:szCs w:val="20"/>
        </w:rPr>
        <w:t xml:space="preserve">rian. E. </w:t>
      </w:r>
      <w:proofErr w:type="spellStart"/>
      <w:r w:rsidRPr="00177B86">
        <w:rPr>
          <w:szCs w:val="20"/>
        </w:rPr>
        <w:t>Strayer</w:t>
      </w:r>
      <w:proofErr w:type="spellEnd"/>
      <w:r w:rsidRPr="00177B86">
        <w:rPr>
          <w:szCs w:val="20"/>
        </w:rPr>
        <w:t xml:space="preserve">, </w:t>
      </w:r>
      <w:r w:rsidRPr="00177B86">
        <w:rPr>
          <w:i/>
          <w:szCs w:val="20"/>
        </w:rPr>
        <w:t xml:space="preserve">Suffering Saints: Jansenists and </w:t>
      </w:r>
      <w:proofErr w:type="spellStart"/>
      <w:r w:rsidRPr="00177B86">
        <w:rPr>
          <w:i/>
          <w:szCs w:val="20"/>
        </w:rPr>
        <w:t>Convulsio</w:t>
      </w:r>
      <w:r w:rsidR="002130E3">
        <w:rPr>
          <w:i/>
          <w:szCs w:val="20"/>
        </w:rPr>
        <w:t>nnaires</w:t>
      </w:r>
      <w:proofErr w:type="spellEnd"/>
      <w:r w:rsidR="002130E3">
        <w:rPr>
          <w:i/>
          <w:szCs w:val="20"/>
        </w:rPr>
        <w:t xml:space="preserve"> in France 1640–</w:t>
      </w:r>
      <w:r w:rsidRPr="00177B86">
        <w:rPr>
          <w:i/>
          <w:szCs w:val="20"/>
        </w:rPr>
        <w:t>1799</w:t>
      </w:r>
      <w:r>
        <w:rPr>
          <w:szCs w:val="20"/>
        </w:rPr>
        <w:t xml:space="preserve"> (Eastbourne, 2012),</w:t>
      </w:r>
      <w:r w:rsidRPr="00177B86">
        <w:rPr>
          <w:szCs w:val="20"/>
        </w:rPr>
        <w:t xml:space="preserve"> 52.</w:t>
      </w:r>
      <w:r>
        <w:rPr>
          <w:szCs w:val="20"/>
        </w:rPr>
        <w:t xml:space="preserve"> </w:t>
      </w:r>
    </w:p>
  </w:footnote>
  <w:footnote w:id="60">
    <w:p w:rsidR="00C543E0" w:rsidRPr="006356D5" w:rsidRDefault="00C543E0" w:rsidP="00A51E6E">
      <w:pPr>
        <w:pStyle w:val="SCHfootnote"/>
        <w:rPr>
          <w:lang w:val="fr-FR"/>
        </w:rPr>
      </w:pPr>
      <w:r>
        <w:rPr>
          <w:rStyle w:val="FootnoteReference"/>
        </w:rPr>
        <w:footnoteRef/>
      </w:r>
      <w:r w:rsidRPr="00173714">
        <w:rPr>
          <w:lang w:val="fr-FR"/>
        </w:rPr>
        <w:t xml:space="preserve"> </w:t>
      </w:r>
      <w:r w:rsidRPr="00664F81">
        <w:rPr>
          <w:lang w:val="fr-FR"/>
        </w:rPr>
        <w:t>ADVO, fonds privées, 10 J, 31, ‘Inventaire ap</w:t>
      </w:r>
      <w:r w:rsidR="002130E3">
        <w:rPr>
          <w:lang w:val="fr-FR"/>
        </w:rPr>
        <w:t>rès décès</w:t>
      </w:r>
      <w:r>
        <w:rPr>
          <w:lang w:val="fr-FR"/>
        </w:rPr>
        <w:t>’</w:t>
      </w:r>
      <w:r w:rsidR="002130E3">
        <w:rPr>
          <w:lang w:val="fr-FR"/>
        </w:rPr>
        <w:t>,</w:t>
      </w:r>
      <w:r>
        <w:rPr>
          <w:lang w:val="fr-FR"/>
        </w:rPr>
        <w:t xml:space="preserve"> 1672. </w:t>
      </w:r>
      <w:r w:rsidRPr="004D7000">
        <w:t>This</w:t>
      </w:r>
      <w:r>
        <w:t xml:space="preserve"> collection of books complemented a fuller selection in her oratory in Paris. </w:t>
      </w:r>
      <w:r w:rsidRPr="006356D5">
        <w:rPr>
          <w:lang w:val="fr-FR"/>
        </w:rPr>
        <w:t xml:space="preserve">This </w:t>
      </w:r>
      <w:proofErr w:type="spellStart"/>
      <w:r w:rsidRPr="006356D5">
        <w:rPr>
          <w:lang w:val="fr-FR"/>
        </w:rPr>
        <w:t>is</w:t>
      </w:r>
      <w:proofErr w:type="spellEnd"/>
      <w:r w:rsidRPr="006356D5">
        <w:rPr>
          <w:lang w:val="fr-FR"/>
        </w:rPr>
        <w:t xml:space="preserve"> </w:t>
      </w:r>
      <w:proofErr w:type="spellStart"/>
      <w:r w:rsidRPr="006356D5">
        <w:rPr>
          <w:lang w:val="fr-FR"/>
        </w:rPr>
        <w:t>explored</w:t>
      </w:r>
      <w:proofErr w:type="spellEnd"/>
      <w:r w:rsidRPr="006356D5">
        <w:rPr>
          <w:lang w:val="fr-FR"/>
        </w:rPr>
        <w:t xml:space="preserve"> </w:t>
      </w:r>
      <w:proofErr w:type="spellStart"/>
      <w:r w:rsidRPr="006356D5">
        <w:rPr>
          <w:lang w:val="fr-FR"/>
        </w:rPr>
        <w:t>fully</w:t>
      </w:r>
      <w:proofErr w:type="spellEnd"/>
      <w:r w:rsidRPr="006356D5">
        <w:rPr>
          <w:lang w:val="fr-FR"/>
        </w:rPr>
        <w:t xml:space="preserve"> in </w:t>
      </w:r>
      <w:proofErr w:type="spellStart"/>
      <w:r w:rsidRPr="006356D5">
        <w:rPr>
          <w:lang w:val="fr-FR"/>
        </w:rPr>
        <w:t>Hillman</w:t>
      </w:r>
      <w:proofErr w:type="spellEnd"/>
      <w:r w:rsidRPr="006356D5">
        <w:rPr>
          <w:lang w:val="fr-FR"/>
        </w:rPr>
        <w:t xml:space="preserve">, </w:t>
      </w:r>
      <w:proofErr w:type="spellStart"/>
      <w:r w:rsidR="002130E3" w:rsidRPr="006356D5">
        <w:rPr>
          <w:i/>
          <w:lang w:val="fr-FR"/>
        </w:rPr>
        <w:t>Female</w:t>
      </w:r>
      <w:proofErr w:type="spellEnd"/>
      <w:r w:rsidR="002130E3" w:rsidRPr="006356D5">
        <w:rPr>
          <w:i/>
          <w:lang w:val="fr-FR"/>
        </w:rPr>
        <w:t xml:space="preserve"> </w:t>
      </w:r>
      <w:proofErr w:type="spellStart"/>
      <w:r w:rsidR="002130E3" w:rsidRPr="006356D5">
        <w:rPr>
          <w:i/>
          <w:lang w:val="fr-FR"/>
        </w:rPr>
        <w:t>Piety</w:t>
      </w:r>
      <w:proofErr w:type="spellEnd"/>
      <w:r w:rsidRPr="006356D5">
        <w:rPr>
          <w:lang w:val="fr-FR"/>
        </w:rPr>
        <w:t xml:space="preserve">, 111–14. </w:t>
      </w:r>
    </w:p>
  </w:footnote>
  <w:footnote w:id="61">
    <w:p w:rsidR="00C543E0" w:rsidRPr="0018223E" w:rsidRDefault="00C543E0" w:rsidP="00A51E6E">
      <w:pPr>
        <w:pStyle w:val="SCHfootnote"/>
        <w:rPr>
          <w:lang w:val="fr-FR"/>
        </w:rPr>
      </w:pPr>
      <w:r w:rsidRPr="0018223E">
        <w:rPr>
          <w:rStyle w:val="FootnoteReference"/>
        </w:rPr>
        <w:footnoteRef/>
      </w:r>
      <w:r>
        <w:rPr>
          <w:lang w:val="fr-FR"/>
        </w:rPr>
        <w:t xml:space="preserve"> </w:t>
      </w:r>
      <w:r w:rsidRPr="00173714">
        <w:rPr>
          <w:lang w:val="fr-FR"/>
        </w:rPr>
        <w:t>H</w:t>
      </w:r>
      <w:r w:rsidRPr="00C974C9">
        <w:rPr>
          <w:lang w:val="fr-FR"/>
        </w:rPr>
        <w:t xml:space="preserve">enri-Jean </w:t>
      </w:r>
      <w:r>
        <w:rPr>
          <w:lang w:val="fr-FR"/>
        </w:rPr>
        <w:t>Martin</w:t>
      </w:r>
      <w:r w:rsidRPr="0018223E">
        <w:rPr>
          <w:lang w:val="fr-FR"/>
        </w:rPr>
        <w:t xml:space="preserve">, </w:t>
      </w:r>
      <w:r w:rsidRPr="0018223E">
        <w:rPr>
          <w:i/>
          <w:lang w:val="fr-FR"/>
        </w:rPr>
        <w:t>Livre, pouvoirs et société</w:t>
      </w:r>
      <w:r w:rsidRPr="0018223E">
        <w:rPr>
          <w:lang w:val="fr-FR"/>
        </w:rPr>
        <w:t xml:space="preserve"> </w:t>
      </w:r>
      <w:r w:rsidRPr="0018223E">
        <w:rPr>
          <w:i/>
          <w:lang w:val="fr-FR"/>
        </w:rPr>
        <w:t>à Paris au XVII</w:t>
      </w:r>
      <w:r w:rsidRPr="002130E3">
        <w:rPr>
          <w:i/>
          <w:vertAlign w:val="superscript"/>
          <w:lang w:val="fr-FR"/>
        </w:rPr>
        <w:t>e</w:t>
      </w:r>
      <w:r w:rsidR="002130E3">
        <w:rPr>
          <w:i/>
          <w:lang w:val="fr-FR"/>
        </w:rPr>
        <w:t xml:space="preserve"> siècle 1598–</w:t>
      </w:r>
      <w:r w:rsidRPr="0018223E">
        <w:rPr>
          <w:i/>
          <w:lang w:val="fr-FR"/>
        </w:rPr>
        <w:t>1701</w:t>
      </w:r>
      <w:r w:rsidR="002130E3">
        <w:rPr>
          <w:lang w:val="fr-FR"/>
        </w:rPr>
        <w:t xml:space="preserve">, </w:t>
      </w:r>
      <w:r>
        <w:rPr>
          <w:lang w:val="fr-FR"/>
        </w:rPr>
        <w:t>2 vol</w:t>
      </w:r>
      <w:r w:rsidR="002130E3">
        <w:rPr>
          <w:lang w:val="fr-FR"/>
        </w:rPr>
        <w:t>s</w:t>
      </w:r>
      <w:r w:rsidRPr="0018223E">
        <w:rPr>
          <w:lang w:val="fr-FR"/>
        </w:rPr>
        <w:t xml:space="preserve"> </w:t>
      </w:r>
      <w:r w:rsidR="002130E3">
        <w:rPr>
          <w:lang w:val="fr-FR"/>
        </w:rPr>
        <w:t>(Geneva</w:t>
      </w:r>
      <w:r w:rsidRPr="0018223E">
        <w:rPr>
          <w:lang w:val="fr-FR"/>
        </w:rPr>
        <w:t>, 1999),</w:t>
      </w:r>
      <w:r w:rsidRPr="00E02D4B">
        <w:rPr>
          <w:lang w:val="fr-FR"/>
        </w:rPr>
        <w:t xml:space="preserve"> </w:t>
      </w:r>
      <w:r>
        <w:rPr>
          <w:lang w:val="fr-FR"/>
        </w:rPr>
        <w:t>1: 496, 2: 928–</w:t>
      </w:r>
      <w:r w:rsidRPr="00593AB3">
        <w:rPr>
          <w:lang w:val="fr-FR"/>
        </w:rPr>
        <w:t>9.</w:t>
      </w:r>
    </w:p>
  </w:footnote>
  <w:footnote w:id="62">
    <w:p w:rsidR="00C543E0" w:rsidRPr="007C1A89" w:rsidRDefault="00C543E0" w:rsidP="00A51E6E">
      <w:pPr>
        <w:pStyle w:val="SCHfootnote"/>
        <w:rPr>
          <w:szCs w:val="20"/>
        </w:rPr>
      </w:pPr>
      <w:r w:rsidRPr="007C1A89">
        <w:rPr>
          <w:rStyle w:val="FootnoteReference"/>
          <w:szCs w:val="20"/>
        </w:rPr>
        <w:footnoteRef/>
      </w:r>
      <w:r w:rsidRPr="007C1A89">
        <w:rPr>
          <w:szCs w:val="20"/>
        </w:rPr>
        <w:t xml:space="preserve"> These relics are recorded in the visitation documentation and in the probate inventory of 1672. This hypothesis was first presented in Hillman, </w:t>
      </w:r>
      <w:r w:rsidRPr="007C1A89">
        <w:rPr>
          <w:i/>
          <w:szCs w:val="20"/>
        </w:rPr>
        <w:t>Female Piety</w:t>
      </w:r>
      <w:r w:rsidR="002130E3">
        <w:rPr>
          <w:szCs w:val="20"/>
        </w:rPr>
        <w:t xml:space="preserve">, </w:t>
      </w:r>
      <w:proofErr w:type="gramStart"/>
      <w:r w:rsidR="002130E3">
        <w:rPr>
          <w:szCs w:val="20"/>
        </w:rPr>
        <w:t>92</w:t>
      </w:r>
      <w:proofErr w:type="gramEnd"/>
      <w:r w:rsidR="002130E3">
        <w:rPr>
          <w:szCs w:val="20"/>
        </w:rPr>
        <w:t>–</w:t>
      </w:r>
      <w:r w:rsidRPr="007C1A89">
        <w:rPr>
          <w:szCs w:val="20"/>
        </w:rPr>
        <w:t xml:space="preserve">3. The idea of the ‘company’ kept by relics shaping their meaning is from Cynthia Hahn, </w:t>
      </w:r>
      <w:r w:rsidRPr="007C1A89">
        <w:rPr>
          <w:i/>
          <w:szCs w:val="20"/>
        </w:rPr>
        <w:t>Strange Beauty: Issues in the Making and Meanin</w:t>
      </w:r>
      <w:r w:rsidR="002130E3">
        <w:rPr>
          <w:i/>
          <w:szCs w:val="20"/>
        </w:rPr>
        <w:t>g of Reliquaries 400–</w:t>
      </w:r>
      <w:r w:rsidRPr="002130E3">
        <w:rPr>
          <w:szCs w:val="20"/>
        </w:rPr>
        <w:t>c.</w:t>
      </w:r>
      <w:r w:rsidRPr="007C1A89">
        <w:rPr>
          <w:i/>
          <w:szCs w:val="20"/>
        </w:rPr>
        <w:t>1204</w:t>
      </w:r>
      <w:r w:rsidR="002130E3">
        <w:rPr>
          <w:szCs w:val="20"/>
        </w:rPr>
        <w:t xml:space="preserve"> (Philadelphia, PA</w:t>
      </w:r>
      <w:r w:rsidRPr="007C1A89">
        <w:rPr>
          <w:szCs w:val="20"/>
        </w:rPr>
        <w:t>, 2012), 1</w:t>
      </w:r>
      <w:r w:rsidR="002130E3">
        <w:rPr>
          <w:szCs w:val="20"/>
        </w:rPr>
        <w:t xml:space="preserve">2. Interestingly, the </w:t>
      </w:r>
      <w:proofErr w:type="spellStart"/>
      <w:r w:rsidR="002130E3">
        <w:rPr>
          <w:szCs w:val="20"/>
        </w:rPr>
        <w:t>Liancourt</w:t>
      </w:r>
      <w:r w:rsidRPr="007C1A89">
        <w:rPr>
          <w:szCs w:val="20"/>
        </w:rPr>
        <w:t>s</w:t>
      </w:r>
      <w:proofErr w:type="spellEnd"/>
      <w:r w:rsidR="002130E3">
        <w:rPr>
          <w:szCs w:val="20"/>
        </w:rPr>
        <w:t>’</w:t>
      </w:r>
      <w:r w:rsidRPr="007C1A89">
        <w:rPr>
          <w:szCs w:val="20"/>
        </w:rPr>
        <w:t xml:space="preserve"> interest in the ancient spiritual heritage of La Roche-</w:t>
      </w:r>
      <w:proofErr w:type="spellStart"/>
      <w:r w:rsidRPr="007C1A89">
        <w:rPr>
          <w:szCs w:val="20"/>
        </w:rPr>
        <w:t>Guyon</w:t>
      </w:r>
      <w:proofErr w:type="spellEnd"/>
      <w:r w:rsidRPr="007C1A89">
        <w:rPr>
          <w:szCs w:val="20"/>
        </w:rPr>
        <w:t xml:space="preserve"> was perpetuated by the eighteenth-century proprietors, who commissioned an ‘ancient’ portal to be designed on the Tour de Guy as an allusion to their family lineage; this is explored in Gab</w:t>
      </w:r>
      <w:r>
        <w:rPr>
          <w:szCs w:val="20"/>
        </w:rPr>
        <w:t>riel Wick, ‘Hubert Robert (1733</w:t>
      </w:r>
      <w:r w:rsidRPr="009501FC">
        <w:rPr>
          <w:szCs w:val="20"/>
        </w:rPr>
        <w:t>–</w:t>
      </w:r>
      <w:r w:rsidRPr="007C1A89">
        <w:rPr>
          <w:szCs w:val="20"/>
        </w:rPr>
        <w:t>1808) and the Renovation of the Tour de Guy at</w:t>
      </w:r>
      <w:r>
        <w:rPr>
          <w:szCs w:val="20"/>
        </w:rPr>
        <w:t xml:space="preserve"> the Château de La Roche-</w:t>
      </w:r>
      <w:proofErr w:type="spellStart"/>
      <w:r>
        <w:rPr>
          <w:szCs w:val="20"/>
        </w:rPr>
        <w:t>Guyon</w:t>
      </w:r>
      <w:proofErr w:type="spellEnd"/>
      <w:r>
        <w:rPr>
          <w:szCs w:val="20"/>
        </w:rPr>
        <w:t>’,</w:t>
      </w:r>
      <w:r w:rsidRPr="007C1A89">
        <w:rPr>
          <w:szCs w:val="20"/>
        </w:rPr>
        <w:t xml:space="preserve"> </w:t>
      </w:r>
      <w:r w:rsidRPr="007C1A89">
        <w:rPr>
          <w:i/>
          <w:szCs w:val="20"/>
        </w:rPr>
        <w:t>Garden History</w:t>
      </w:r>
      <w:r w:rsidRPr="007C1A89">
        <w:rPr>
          <w:szCs w:val="20"/>
        </w:rPr>
        <w:t xml:space="preserve"> 41</w:t>
      </w:r>
      <w:r>
        <w:rPr>
          <w:szCs w:val="20"/>
        </w:rPr>
        <w:t xml:space="preserve"> (2013), 224–</w:t>
      </w:r>
      <w:r w:rsidRPr="007C1A89">
        <w:rPr>
          <w:szCs w:val="20"/>
        </w:rPr>
        <w:t xml:space="preserve">44, at 233. </w:t>
      </w:r>
    </w:p>
  </w:footnote>
  <w:footnote w:id="63">
    <w:p w:rsidR="00C543E0" w:rsidRPr="006356D5" w:rsidRDefault="00C543E0" w:rsidP="00A51E6E">
      <w:pPr>
        <w:pStyle w:val="SCHfootnote"/>
      </w:pPr>
      <w:r w:rsidRPr="00197253">
        <w:rPr>
          <w:rStyle w:val="FootnoteReference"/>
        </w:rPr>
        <w:footnoteRef/>
      </w:r>
      <w:r>
        <w:t xml:space="preserve"> </w:t>
      </w:r>
      <w:r w:rsidR="002130E3">
        <w:t xml:space="preserve">Edina </w:t>
      </w:r>
      <w:proofErr w:type="spellStart"/>
      <w:r w:rsidR="002130E3" w:rsidRPr="001C2929">
        <w:t>Bozó</w:t>
      </w:r>
      <w:r w:rsidRPr="001C2929">
        <w:t>ky</w:t>
      </w:r>
      <w:proofErr w:type="spellEnd"/>
      <w:r w:rsidRPr="001C2929">
        <w:t xml:space="preserve"> </w:t>
      </w:r>
      <w:r w:rsidR="002130E3">
        <w:t xml:space="preserve"> </w:t>
      </w:r>
      <w:r w:rsidRPr="00197253">
        <w:t>an</w:t>
      </w:r>
      <w:r w:rsidR="002130E3">
        <w:t xml:space="preserve">d Steven </w:t>
      </w:r>
      <w:proofErr w:type="spellStart"/>
      <w:r w:rsidR="002130E3">
        <w:t>Vanderputten</w:t>
      </w:r>
      <w:proofErr w:type="spellEnd"/>
      <w:r w:rsidR="002130E3">
        <w:t xml:space="preserve"> have </w:t>
      </w:r>
      <w:r w:rsidRPr="00197253">
        <w:t xml:space="preserve">shown how relics were symbols of </w:t>
      </w:r>
      <w:proofErr w:type="spellStart"/>
      <w:r w:rsidRPr="00197253">
        <w:t>authority</w:t>
      </w:r>
      <w:r w:rsidR="00EB43AD">
        <w:t>.</w:t>
      </w:r>
      <w:r w:rsidR="00EB43AD" w:rsidRPr="006356D5">
        <w:t>See</w:t>
      </w:r>
      <w:proofErr w:type="spellEnd"/>
      <w:r w:rsidR="00EB43AD" w:rsidRPr="006356D5">
        <w:t xml:space="preserve"> ‘Voyage de </w:t>
      </w:r>
      <w:proofErr w:type="spellStart"/>
      <w:r w:rsidR="00EB43AD" w:rsidRPr="006356D5">
        <w:t>reliques</w:t>
      </w:r>
      <w:proofErr w:type="spellEnd"/>
      <w:r w:rsidR="00EB43AD" w:rsidRPr="006356D5">
        <w:t xml:space="preserve"> et demonstration du </w:t>
      </w:r>
      <w:proofErr w:type="spellStart"/>
      <w:r w:rsidR="00EB43AD" w:rsidRPr="006356D5">
        <w:t>pouvoir</w:t>
      </w:r>
      <w:proofErr w:type="spellEnd"/>
      <w:r w:rsidR="00EB43AD" w:rsidRPr="006356D5">
        <w:t xml:space="preserve"> au temps </w:t>
      </w:r>
      <w:proofErr w:type="spellStart"/>
      <w:r w:rsidR="00EB43AD" w:rsidRPr="006356D5">
        <w:t>féodaux</w:t>
      </w:r>
      <w:proofErr w:type="spellEnd"/>
      <w:r w:rsidR="00EB43AD" w:rsidRPr="006356D5">
        <w:t xml:space="preserve">,’ in </w:t>
      </w:r>
      <w:r w:rsidR="00EB43AD" w:rsidRPr="006356D5">
        <w:rPr>
          <w:i/>
        </w:rPr>
        <w:t>V</w:t>
      </w:r>
      <w:bookmarkStart w:id="0" w:name="_GoBack"/>
      <w:bookmarkEnd w:id="0"/>
      <w:r w:rsidR="00EB43AD" w:rsidRPr="006356D5">
        <w:rPr>
          <w:i/>
        </w:rPr>
        <w:t xml:space="preserve">oyages et voyageurs au </w:t>
      </w:r>
      <w:proofErr w:type="spellStart"/>
      <w:r w:rsidR="00EB43AD" w:rsidRPr="006356D5">
        <w:rPr>
          <w:i/>
        </w:rPr>
        <w:t>Moyen</w:t>
      </w:r>
      <w:proofErr w:type="spellEnd"/>
      <w:r w:rsidR="00EB43AD" w:rsidRPr="006356D5">
        <w:rPr>
          <w:i/>
        </w:rPr>
        <w:t xml:space="preserve"> Age</w:t>
      </w:r>
      <w:r w:rsidR="00EB43AD" w:rsidRPr="006356D5">
        <w:t xml:space="preserve"> (Paris: Publications de la Sorbonne, 1996), 267-80 and  </w:t>
      </w:r>
      <w:r w:rsidRPr="006356D5">
        <w:t xml:space="preserve">‘Itinerant Lordship: Relic Translations and Social Change in Eleventh and Twelfth-Century Flanders’, </w:t>
      </w:r>
      <w:r w:rsidRPr="006356D5">
        <w:rPr>
          <w:i/>
        </w:rPr>
        <w:t>French History</w:t>
      </w:r>
      <w:r w:rsidRPr="006356D5">
        <w:t xml:space="preserve"> 25 (2011), 143–63</w:t>
      </w:r>
      <w:r w:rsidR="00EB43AD" w:rsidRPr="006356D5">
        <w:t xml:space="preserve"> respectively.</w:t>
      </w:r>
    </w:p>
  </w:footnote>
  <w:footnote w:id="64">
    <w:p w:rsidR="00C543E0" w:rsidRPr="00FD7D45" w:rsidRDefault="00C543E0" w:rsidP="00A51E6E">
      <w:pPr>
        <w:pStyle w:val="SCHfootnote"/>
      </w:pPr>
      <w:r w:rsidRPr="00E701D3">
        <w:rPr>
          <w:rStyle w:val="FootnoteReference"/>
        </w:rPr>
        <w:footnoteRef/>
      </w:r>
      <w:r>
        <w:t xml:space="preserve"> Robertson and </w:t>
      </w:r>
      <w:proofErr w:type="spellStart"/>
      <w:r>
        <w:t>Jahner</w:t>
      </w:r>
      <w:proofErr w:type="spellEnd"/>
      <w:r>
        <w:t xml:space="preserve">, </w:t>
      </w:r>
      <w:r w:rsidRPr="00E701D3">
        <w:t>‘</w:t>
      </w:r>
      <w:r>
        <w:t>Introduction’,</w:t>
      </w:r>
      <w:r w:rsidRPr="00E701D3">
        <w:t xml:space="preserve"> </w:t>
      </w:r>
      <w:r>
        <w:t xml:space="preserve">in </w:t>
      </w:r>
      <w:r w:rsidRPr="00313FD7">
        <w:rPr>
          <w:i/>
        </w:rPr>
        <w:t>Medieval and Early Modern Devotional Objects</w:t>
      </w:r>
      <w:r w:rsidR="00A97D22">
        <w:t>,</w:t>
      </w:r>
      <w:r>
        <w:t xml:space="preserve">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E0" w:rsidRPr="006C2FE8" w:rsidRDefault="00C543E0" w:rsidP="006C2FE8">
    <w:pPr>
      <w:pStyle w:val="Header"/>
      <w:tabs>
        <w:tab w:val="clear" w:pos="8640"/>
        <w:tab w:val="right" w:pos="8364"/>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4BE"/>
    <w:multiLevelType w:val="hybridMultilevel"/>
    <w:tmpl w:val="F2B47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B223A4"/>
    <w:multiLevelType w:val="hybridMultilevel"/>
    <w:tmpl w:val="FE603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C37EBB"/>
    <w:multiLevelType w:val="hybridMultilevel"/>
    <w:tmpl w:val="5126A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70C4F26"/>
    <w:multiLevelType w:val="hybridMultilevel"/>
    <w:tmpl w:val="2F286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84640D6"/>
    <w:multiLevelType w:val="hybridMultilevel"/>
    <w:tmpl w:val="A9FCCA1C"/>
    <w:lvl w:ilvl="0" w:tplc="FEFE23D2">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70C44"/>
    <w:multiLevelType w:val="hybridMultilevel"/>
    <w:tmpl w:val="42181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80"/>
    <w:rsid w:val="000050DB"/>
    <w:rsid w:val="000204FB"/>
    <w:rsid w:val="000219BC"/>
    <w:rsid w:val="00035646"/>
    <w:rsid w:val="00041080"/>
    <w:rsid w:val="00063AE5"/>
    <w:rsid w:val="00070858"/>
    <w:rsid w:val="0007227A"/>
    <w:rsid w:val="00073000"/>
    <w:rsid w:val="000732E8"/>
    <w:rsid w:val="00080083"/>
    <w:rsid w:val="00085908"/>
    <w:rsid w:val="0008676C"/>
    <w:rsid w:val="00091265"/>
    <w:rsid w:val="00097F86"/>
    <w:rsid w:val="000D11D6"/>
    <w:rsid w:val="000D4468"/>
    <w:rsid w:val="000D5042"/>
    <w:rsid w:val="000D7E1C"/>
    <w:rsid w:val="00104BAE"/>
    <w:rsid w:val="00121BCF"/>
    <w:rsid w:val="0012289B"/>
    <w:rsid w:val="00126C47"/>
    <w:rsid w:val="00136244"/>
    <w:rsid w:val="00151199"/>
    <w:rsid w:val="001540D8"/>
    <w:rsid w:val="00156AAB"/>
    <w:rsid w:val="00160F77"/>
    <w:rsid w:val="00163B0C"/>
    <w:rsid w:val="00163F14"/>
    <w:rsid w:val="001716E9"/>
    <w:rsid w:val="00171FFE"/>
    <w:rsid w:val="0017480A"/>
    <w:rsid w:val="001753C0"/>
    <w:rsid w:val="0018780F"/>
    <w:rsid w:val="0019129D"/>
    <w:rsid w:val="0019282B"/>
    <w:rsid w:val="001A7E1E"/>
    <w:rsid w:val="001A7E7C"/>
    <w:rsid w:val="001B4311"/>
    <w:rsid w:val="001C25A6"/>
    <w:rsid w:val="001C2929"/>
    <w:rsid w:val="001C29D6"/>
    <w:rsid w:val="001C450C"/>
    <w:rsid w:val="001D241B"/>
    <w:rsid w:val="001D482A"/>
    <w:rsid w:val="001D579D"/>
    <w:rsid w:val="001D6ABA"/>
    <w:rsid w:val="001E763B"/>
    <w:rsid w:val="001E77E9"/>
    <w:rsid w:val="001F446B"/>
    <w:rsid w:val="001F5751"/>
    <w:rsid w:val="0020683D"/>
    <w:rsid w:val="002070AA"/>
    <w:rsid w:val="002130E3"/>
    <w:rsid w:val="00216827"/>
    <w:rsid w:val="00224247"/>
    <w:rsid w:val="00224417"/>
    <w:rsid w:val="00230E8B"/>
    <w:rsid w:val="00232D28"/>
    <w:rsid w:val="00242D36"/>
    <w:rsid w:val="00251A05"/>
    <w:rsid w:val="00256822"/>
    <w:rsid w:val="00263A9E"/>
    <w:rsid w:val="00267333"/>
    <w:rsid w:val="00267BFF"/>
    <w:rsid w:val="00274A58"/>
    <w:rsid w:val="0027656B"/>
    <w:rsid w:val="0028111C"/>
    <w:rsid w:val="00283965"/>
    <w:rsid w:val="002934AB"/>
    <w:rsid w:val="00294027"/>
    <w:rsid w:val="0029775B"/>
    <w:rsid w:val="002A4458"/>
    <w:rsid w:val="002B0BA0"/>
    <w:rsid w:val="002B1180"/>
    <w:rsid w:val="002B4415"/>
    <w:rsid w:val="002E2AFD"/>
    <w:rsid w:val="002E58B3"/>
    <w:rsid w:val="002F1944"/>
    <w:rsid w:val="0030254E"/>
    <w:rsid w:val="003069A8"/>
    <w:rsid w:val="003106D4"/>
    <w:rsid w:val="00310A39"/>
    <w:rsid w:val="003168E4"/>
    <w:rsid w:val="00316A13"/>
    <w:rsid w:val="003256A8"/>
    <w:rsid w:val="003277CD"/>
    <w:rsid w:val="003306B2"/>
    <w:rsid w:val="0033763D"/>
    <w:rsid w:val="00350835"/>
    <w:rsid w:val="00357083"/>
    <w:rsid w:val="00365ECA"/>
    <w:rsid w:val="00374450"/>
    <w:rsid w:val="00380285"/>
    <w:rsid w:val="00380BFE"/>
    <w:rsid w:val="00383F6D"/>
    <w:rsid w:val="00385D3A"/>
    <w:rsid w:val="00387266"/>
    <w:rsid w:val="0039337F"/>
    <w:rsid w:val="003B6651"/>
    <w:rsid w:val="003C07E7"/>
    <w:rsid w:val="003C25D0"/>
    <w:rsid w:val="003D0C41"/>
    <w:rsid w:val="003E2ECB"/>
    <w:rsid w:val="003F403E"/>
    <w:rsid w:val="003F5DF9"/>
    <w:rsid w:val="003F766F"/>
    <w:rsid w:val="003F786F"/>
    <w:rsid w:val="00414306"/>
    <w:rsid w:val="004151C5"/>
    <w:rsid w:val="00420201"/>
    <w:rsid w:val="0042477C"/>
    <w:rsid w:val="00443DBF"/>
    <w:rsid w:val="00450A8C"/>
    <w:rsid w:val="00450CF4"/>
    <w:rsid w:val="004625FC"/>
    <w:rsid w:val="00467E2F"/>
    <w:rsid w:val="00472C5B"/>
    <w:rsid w:val="00482E7C"/>
    <w:rsid w:val="00493A69"/>
    <w:rsid w:val="00496DDC"/>
    <w:rsid w:val="004A437F"/>
    <w:rsid w:val="004B23EC"/>
    <w:rsid w:val="004C10C4"/>
    <w:rsid w:val="004C1B63"/>
    <w:rsid w:val="004E5C14"/>
    <w:rsid w:val="004F17E8"/>
    <w:rsid w:val="004F2E95"/>
    <w:rsid w:val="00500195"/>
    <w:rsid w:val="00505731"/>
    <w:rsid w:val="00517E70"/>
    <w:rsid w:val="00524647"/>
    <w:rsid w:val="0053045A"/>
    <w:rsid w:val="00533252"/>
    <w:rsid w:val="00544475"/>
    <w:rsid w:val="0055009C"/>
    <w:rsid w:val="005540BD"/>
    <w:rsid w:val="00557A83"/>
    <w:rsid w:val="00567648"/>
    <w:rsid w:val="00567925"/>
    <w:rsid w:val="005A0473"/>
    <w:rsid w:val="005A0CFE"/>
    <w:rsid w:val="005A28D8"/>
    <w:rsid w:val="005C46F3"/>
    <w:rsid w:val="005C5826"/>
    <w:rsid w:val="005D2B06"/>
    <w:rsid w:val="005D7D8A"/>
    <w:rsid w:val="005E2FED"/>
    <w:rsid w:val="005F6A44"/>
    <w:rsid w:val="0060143F"/>
    <w:rsid w:val="00610516"/>
    <w:rsid w:val="00611051"/>
    <w:rsid w:val="0061117F"/>
    <w:rsid w:val="00613B7A"/>
    <w:rsid w:val="00614213"/>
    <w:rsid w:val="006152A9"/>
    <w:rsid w:val="00623A63"/>
    <w:rsid w:val="00623FD0"/>
    <w:rsid w:val="0063181A"/>
    <w:rsid w:val="00631A32"/>
    <w:rsid w:val="006356D5"/>
    <w:rsid w:val="006378E2"/>
    <w:rsid w:val="00637E7C"/>
    <w:rsid w:val="00655A8B"/>
    <w:rsid w:val="006561F1"/>
    <w:rsid w:val="006563D3"/>
    <w:rsid w:val="00663448"/>
    <w:rsid w:val="0066649D"/>
    <w:rsid w:val="006670D8"/>
    <w:rsid w:val="00671D5C"/>
    <w:rsid w:val="00687B69"/>
    <w:rsid w:val="0069374B"/>
    <w:rsid w:val="006952BF"/>
    <w:rsid w:val="006B09CB"/>
    <w:rsid w:val="006B2162"/>
    <w:rsid w:val="006B4630"/>
    <w:rsid w:val="006B5946"/>
    <w:rsid w:val="006B78F2"/>
    <w:rsid w:val="006C2FE8"/>
    <w:rsid w:val="006D0E8A"/>
    <w:rsid w:val="006D18C7"/>
    <w:rsid w:val="006D6100"/>
    <w:rsid w:val="006E66C2"/>
    <w:rsid w:val="00721A7C"/>
    <w:rsid w:val="007241B3"/>
    <w:rsid w:val="00734CBE"/>
    <w:rsid w:val="00735B68"/>
    <w:rsid w:val="0074059C"/>
    <w:rsid w:val="00744EA3"/>
    <w:rsid w:val="00745924"/>
    <w:rsid w:val="00746CF0"/>
    <w:rsid w:val="00754939"/>
    <w:rsid w:val="00756EFE"/>
    <w:rsid w:val="007638DF"/>
    <w:rsid w:val="007704E9"/>
    <w:rsid w:val="0077252D"/>
    <w:rsid w:val="00775F12"/>
    <w:rsid w:val="007800E0"/>
    <w:rsid w:val="00784512"/>
    <w:rsid w:val="00787E4C"/>
    <w:rsid w:val="00792B31"/>
    <w:rsid w:val="007956D7"/>
    <w:rsid w:val="007A0906"/>
    <w:rsid w:val="007A6753"/>
    <w:rsid w:val="007A6789"/>
    <w:rsid w:val="007B4662"/>
    <w:rsid w:val="007B48DE"/>
    <w:rsid w:val="007C2DFE"/>
    <w:rsid w:val="007C6A8D"/>
    <w:rsid w:val="007D3D0E"/>
    <w:rsid w:val="007E43AE"/>
    <w:rsid w:val="007E605E"/>
    <w:rsid w:val="007F19E1"/>
    <w:rsid w:val="007F7518"/>
    <w:rsid w:val="00803965"/>
    <w:rsid w:val="00806A0E"/>
    <w:rsid w:val="0080778D"/>
    <w:rsid w:val="008221FB"/>
    <w:rsid w:val="00827DD7"/>
    <w:rsid w:val="008346C1"/>
    <w:rsid w:val="008358E2"/>
    <w:rsid w:val="00844BD8"/>
    <w:rsid w:val="00853F95"/>
    <w:rsid w:val="0085721A"/>
    <w:rsid w:val="00863546"/>
    <w:rsid w:val="00865683"/>
    <w:rsid w:val="008708B5"/>
    <w:rsid w:val="00870928"/>
    <w:rsid w:val="00872ED2"/>
    <w:rsid w:val="00876225"/>
    <w:rsid w:val="00884748"/>
    <w:rsid w:val="0089545E"/>
    <w:rsid w:val="008A1770"/>
    <w:rsid w:val="008A17B1"/>
    <w:rsid w:val="008A2643"/>
    <w:rsid w:val="008A6E4D"/>
    <w:rsid w:val="008B1213"/>
    <w:rsid w:val="008B23DD"/>
    <w:rsid w:val="008B43EC"/>
    <w:rsid w:val="008B66C6"/>
    <w:rsid w:val="008D3CCD"/>
    <w:rsid w:val="008D56B7"/>
    <w:rsid w:val="008F2610"/>
    <w:rsid w:val="00900753"/>
    <w:rsid w:val="0090255F"/>
    <w:rsid w:val="0090769D"/>
    <w:rsid w:val="00907CC7"/>
    <w:rsid w:val="0091302A"/>
    <w:rsid w:val="009210BD"/>
    <w:rsid w:val="00921374"/>
    <w:rsid w:val="009234B7"/>
    <w:rsid w:val="00924547"/>
    <w:rsid w:val="00926752"/>
    <w:rsid w:val="00932C72"/>
    <w:rsid w:val="00944DAA"/>
    <w:rsid w:val="009500CE"/>
    <w:rsid w:val="009501FC"/>
    <w:rsid w:val="00951BE6"/>
    <w:rsid w:val="00962CB6"/>
    <w:rsid w:val="0097116F"/>
    <w:rsid w:val="009817C3"/>
    <w:rsid w:val="009920F0"/>
    <w:rsid w:val="00992216"/>
    <w:rsid w:val="00992CF7"/>
    <w:rsid w:val="009A2DFF"/>
    <w:rsid w:val="009A3DC9"/>
    <w:rsid w:val="009A4717"/>
    <w:rsid w:val="009C40F4"/>
    <w:rsid w:val="009D0358"/>
    <w:rsid w:val="009D7AEB"/>
    <w:rsid w:val="009E323D"/>
    <w:rsid w:val="009E7CB5"/>
    <w:rsid w:val="009F0A83"/>
    <w:rsid w:val="009F15C6"/>
    <w:rsid w:val="009F3570"/>
    <w:rsid w:val="00A138C1"/>
    <w:rsid w:val="00A23E72"/>
    <w:rsid w:val="00A31400"/>
    <w:rsid w:val="00A33D8B"/>
    <w:rsid w:val="00A377FD"/>
    <w:rsid w:val="00A435D6"/>
    <w:rsid w:val="00A519FD"/>
    <w:rsid w:val="00A51E6E"/>
    <w:rsid w:val="00A6159F"/>
    <w:rsid w:val="00A62052"/>
    <w:rsid w:val="00A70472"/>
    <w:rsid w:val="00A73234"/>
    <w:rsid w:val="00A7418C"/>
    <w:rsid w:val="00A74221"/>
    <w:rsid w:val="00A90B8B"/>
    <w:rsid w:val="00A9302D"/>
    <w:rsid w:val="00A97D22"/>
    <w:rsid w:val="00AA0DB9"/>
    <w:rsid w:val="00AA7D5C"/>
    <w:rsid w:val="00AC2366"/>
    <w:rsid w:val="00AC4BC6"/>
    <w:rsid w:val="00AC7EC8"/>
    <w:rsid w:val="00AF770D"/>
    <w:rsid w:val="00B123A0"/>
    <w:rsid w:val="00B13872"/>
    <w:rsid w:val="00B14242"/>
    <w:rsid w:val="00B16052"/>
    <w:rsid w:val="00B22912"/>
    <w:rsid w:val="00B248DB"/>
    <w:rsid w:val="00B51929"/>
    <w:rsid w:val="00B54CC2"/>
    <w:rsid w:val="00B5579D"/>
    <w:rsid w:val="00B647DF"/>
    <w:rsid w:val="00B67E66"/>
    <w:rsid w:val="00B83D61"/>
    <w:rsid w:val="00B8663E"/>
    <w:rsid w:val="00B94498"/>
    <w:rsid w:val="00B95854"/>
    <w:rsid w:val="00BA47C1"/>
    <w:rsid w:val="00BA4A5B"/>
    <w:rsid w:val="00BC0411"/>
    <w:rsid w:val="00BC2E86"/>
    <w:rsid w:val="00BE1AE6"/>
    <w:rsid w:val="00BE747E"/>
    <w:rsid w:val="00BF02EF"/>
    <w:rsid w:val="00BF3316"/>
    <w:rsid w:val="00BF46CE"/>
    <w:rsid w:val="00C00E9E"/>
    <w:rsid w:val="00C0303E"/>
    <w:rsid w:val="00C0582C"/>
    <w:rsid w:val="00C34C3D"/>
    <w:rsid w:val="00C45B2C"/>
    <w:rsid w:val="00C53D39"/>
    <w:rsid w:val="00C543E0"/>
    <w:rsid w:val="00C54F81"/>
    <w:rsid w:val="00C75B63"/>
    <w:rsid w:val="00C81B3D"/>
    <w:rsid w:val="00C86859"/>
    <w:rsid w:val="00C87805"/>
    <w:rsid w:val="00C943DA"/>
    <w:rsid w:val="00CA2B04"/>
    <w:rsid w:val="00CA507E"/>
    <w:rsid w:val="00CB2B14"/>
    <w:rsid w:val="00CB6FC7"/>
    <w:rsid w:val="00CC07F2"/>
    <w:rsid w:val="00CC13F9"/>
    <w:rsid w:val="00CC1EFC"/>
    <w:rsid w:val="00CE31E1"/>
    <w:rsid w:val="00CF40FE"/>
    <w:rsid w:val="00D01187"/>
    <w:rsid w:val="00D149BF"/>
    <w:rsid w:val="00D22B8F"/>
    <w:rsid w:val="00D26533"/>
    <w:rsid w:val="00D27B52"/>
    <w:rsid w:val="00D304CA"/>
    <w:rsid w:val="00D35456"/>
    <w:rsid w:val="00D43725"/>
    <w:rsid w:val="00D5007A"/>
    <w:rsid w:val="00D52D26"/>
    <w:rsid w:val="00D53289"/>
    <w:rsid w:val="00D60899"/>
    <w:rsid w:val="00D65263"/>
    <w:rsid w:val="00D73E9B"/>
    <w:rsid w:val="00D776E7"/>
    <w:rsid w:val="00D90178"/>
    <w:rsid w:val="00D944D7"/>
    <w:rsid w:val="00DA19B5"/>
    <w:rsid w:val="00DA6E63"/>
    <w:rsid w:val="00DB1194"/>
    <w:rsid w:val="00DB70F4"/>
    <w:rsid w:val="00DC06FF"/>
    <w:rsid w:val="00DC40A2"/>
    <w:rsid w:val="00DE06D9"/>
    <w:rsid w:val="00DE2EBF"/>
    <w:rsid w:val="00DE714D"/>
    <w:rsid w:val="00E030B7"/>
    <w:rsid w:val="00E103A1"/>
    <w:rsid w:val="00E12464"/>
    <w:rsid w:val="00E130F8"/>
    <w:rsid w:val="00E1691F"/>
    <w:rsid w:val="00E17EE9"/>
    <w:rsid w:val="00E3130A"/>
    <w:rsid w:val="00E3632A"/>
    <w:rsid w:val="00E45442"/>
    <w:rsid w:val="00E50CCD"/>
    <w:rsid w:val="00E630A1"/>
    <w:rsid w:val="00E65500"/>
    <w:rsid w:val="00E7007F"/>
    <w:rsid w:val="00E7022C"/>
    <w:rsid w:val="00E71E76"/>
    <w:rsid w:val="00E75408"/>
    <w:rsid w:val="00E7573A"/>
    <w:rsid w:val="00E902FC"/>
    <w:rsid w:val="00E90313"/>
    <w:rsid w:val="00EA0856"/>
    <w:rsid w:val="00EB43AD"/>
    <w:rsid w:val="00EB43BC"/>
    <w:rsid w:val="00EC0470"/>
    <w:rsid w:val="00EC1ACA"/>
    <w:rsid w:val="00EC4E84"/>
    <w:rsid w:val="00EC6C2F"/>
    <w:rsid w:val="00ED0B6B"/>
    <w:rsid w:val="00EE0366"/>
    <w:rsid w:val="00EE3F4D"/>
    <w:rsid w:val="00EF0921"/>
    <w:rsid w:val="00EF277A"/>
    <w:rsid w:val="00EF5C52"/>
    <w:rsid w:val="00EF7925"/>
    <w:rsid w:val="00EF792F"/>
    <w:rsid w:val="00F07ED7"/>
    <w:rsid w:val="00F11F22"/>
    <w:rsid w:val="00F14AB9"/>
    <w:rsid w:val="00F14CF5"/>
    <w:rsid w:val="00F17ACE"/>
    <w:rsid w:val="00F215BB"/>
    <w:rsid w:val="00F22352"/>
    <w:rsid w:val="00F22A75"/>
    <w:rsid w:val="00F308EA"/>
    <w:rsid w:val="00F346F9"/>
    <w:rsid w:val="00F3525E"/>
    <w:rsid w:val="00F415E5"/>
    <w:rsid w:val="00F43157"/>
    <w:rsid w:val="00F43227"/>
    <w:rsid w:val="00F44B9E"/>
    <w:rsid w:val="00F45160"/>
    <w:rsid w:val="00F467DD"/>
    <w:rsid w:val="00F47D98"/>
    <w:rsid w:val="00F668BE"/>
    <w:rsid w:val="00F71E87"/>
    <w:rsid w:val="00F758EA"/>
    <w:rsid w:val="00F75D69"/>
    <w:rsid w:val="00F81B84"/>
    <w:rsid w:val="00F8308B"/>
    <w:rsid w:val="00F84467"/>
    <w:rsid w:val="00F8548D"/>
    <w:rsid w:val="00F947D2"/>
    <w:rsid w:val="00FA0C8C"/>
    <w:rsid w:val="00FA4787"/>
    <w:rsid w:val="00FC031C"/>
    <w:rsid w:val="00FC273E"/>
    <w:rsid w:val="00FC6BEA"/>
    <w:rsid w:val="00FD1A25"/>
    <w:rsid w:val="00FD798E"/>
    <w:rsid w:val="00FE060E"/>
    <w:rsid w:val="00FE28B9"/>
    <w:rsid w:val="00FE48DD"/>
    <w:rsid w:val="00FF1A1A"/>
    <w:rsid w:val="00FF4E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ED"/>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E2FED"/>
    <w:rPr>
      <w:rFonts w:ascii="Times" w:hAnsi="Times"/>
      <w:sz w:val="20"/>
      <w:vertAlign w:val="superscript"/>
    </w:rPr>
  </w:style>
  <w:style w:type="paragraph" w:styleId="ListParagraph">
    <w:name w:val="List Paragraph"/>
    <w:basedOn w:val="Normal"/>
    <w:uiPriority w:val="34"/>
    <w:qFormat/>
    <w:rsid w:val="005E2FED"/>
    <w:pPr>
      <w:ind w:left="720"/>
      <w:contextualSpacing/>
    </w:pPr>
  </w:style>
  <w:style w:type="paragraph" w:styleId="FootnoteText">
    <w:name w:val="footnote text"/>
    <w:basedOn w:val="Normal"/>
    <w:link w:val="FootnoteTextChar"/>
    <w:uiPriority w:val="99"/>
    <w:unhideWhenUsed/>
    <w:rsid w:val="005E2FED"/>
  </w:style>
  <w:style w:type="character" w:customStyle="1" w:styleId="FootnoteTextChar">
    <w:name w:val="Footnote Text Char"/>
    <w:basedOn w:val="DefaultParagraphFont"/>
    <w:link w:val="FootnoteText"/>
    <w:uiPriority w:val="99"/>
    <w:rsid w:val="005E2FED"/>
    <w:rPr>
      <w:rFonts w:ascii="Times New Roman" w:hAnsi="Times New Roman"/>
      <w:lang w:val="en-GB"/>
    </w:rPr>
  </w:style>
  <w:style w:type="character" w:styleId="CommentReference">
    <w:name w:val="annotation reference"/>
    <w:basedOn w:val="DefaultParagraphFont"/>
    <w:uiPriority w:val="99"/>
    <w:semiHidden/>
    <w:unhideWhenUsed/>
    <w:rsid w:val="005E2FED"/>
    <w:rPr>
      <w:sz w:val="18"/>
      <w:szCs w:val="18"/>
    </w:rPr>
  </w:style>
  <w:style w:type="paragraph" w:styleId="CommentText">
    <w:name w:val="annotation text"/>
    <w:basedOn w:val="Normal"/>
    <w:link w:val="CommentTextChar"/>
    <w:uiPriority w:val="99"/>
    <w:semiHidden/>
    <w:unhideWhenUsed/>
    <w:rsid w:val="005E2FED"/>
  </w:style>
  <w:style w:type="character" w:customStyle="1" w:styleId="CommentTextChar">
    <w:name w:val="Comment Text Char"/>
    <w:basedOn w:val="DefaultParagraphFont"/>
    <w:link w:val="CommentText"/>
    <w:uiPriority w:val="99"/>
    <w:semiHidden/>
    <w:rsid w:val="005E2FED"/>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E2FED"/>
    <w:rPr>
      <w:b/>
      <w:bCs/>
      <w:sz w:val="20"/>
      <w:szCs w:val="20"/>
    </w:rPr>
  </w:style>
  <w:style w:type="character" w:customStyle="1" w:styleId="CommentSubjectChar">
    <w:name w:val="Comment Subject Char"/>
    <w:basedOn w:val="CommentTextChar"/>
    <w:link w:val="CommentSubject"/>
    <w:uiPriority w:val="99"/>
    <w:semiHidden/>
    <w:rsid w:val="005E2FED"/>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5E2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FED"/>
    <w:rPr>
      <w:rFonts w:ascii="Lucida Grande" w:hAnsi="Lucida Grande" w:cs="Lucida Grande"/>
      <w:sz w:val="18"/>
      <w:szCs w:val="18"/>
      <w:lang w:val="en-GB"/>
    </w:rPr>
  </w:style>
  <w:style w:type="character" w:customStyle="1" w:styleId="apple-converted-space">
    <w:name w:val="apple-converted-space"/>
    <w:basedOn w:val="DefaultParagraphFont"/>
    <w:rsid w:val="005E2FED"/>
  </w:style>
  <w:style w:type="paragraph" w:styleId="NormalWeb">
    <w:name w:val="Normal (Web)"/>
    <w:basedOn w:val="Normal"/>
    <w:uiPriority w:val="99"/>
    <w:unhideWhenUsed/>
    <w:rsid w:val="005E2FED"/>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5E2FED"/>
    <w:rPr>
      <w:color w:val="0000FF"/>
      <w:u w:val="single"/>
    </w:rPr>
  </w:style>
  <w:style w:type="character" w:styleId="Emphasis">
    <w:name w:val="Emphasis"/>
    <w:basedOn w:val="DefaultParagraphFont"/>
    <w:uiPriority w:val="20"/>
    <w:qFormat/>
    <w:rsid w:val="005E2FED"/>
    <w:rPr>
      <w:i/>
      <w:iCs/>
    </w:rPr>
  </w:style>
  <w:style w:type="character" w:customStyle="1" w:styleId="roman">
    <w:name w:val="roman"/>
    <w:basedOn w:val="DefaultParagraphFont"/>
    <w:rsid w:val="005E2FED"/>
  </w:style>
  <w:style w:type="character" w:customStyle="1" w:styleId="headword">
    <w:name w:val="headword"/>
    <w:basedOn w:val="DefaultParagraphFont"/>
    <w:rsid w:val="005E2FED"/>
  </w:style>
  <w:style w:type="paragraph" w:styleId="Footer">
    <w:name w:val="footer"/>
    <w:basedOn w:val="Normal"/>
    <w:link w:val="FooterChar"/>
    <w:uiPriority w:val="99"/>
    <w:unhideWhenUsed/>
    <w:rsid w:val="005E2FED"/>
    <w:pPr>
      <w:tabs>
        <w:tab w:val="center" w:pos="4320"/>
        <w:tab w:val="right" w:pos="8640"/>
      </w:tabs>
    </w:pPr>
  </w:style>
  <w:style w:type="character" w:customStyle="1" w:styleId="FooterChar">
    <w:name w:val="Footer Char"/>
    <w:basedOn w:val="DefaultParagraphFont"/>
    <w:link w:val="Footer"/>
    <w:uiPriority w:val="99"/>
    <w:rsid w:val="005E2FED"/>
    <w:rPr>
      <w:rFonts w:ascii="Times New Roman" w:hAnsi="Times New Roman"/>
      <w:lang w:val="en-GB"/>
    </w:rPr>
  </w:style>
  <w:style w:type="character" w:styleId="PageNumber">
    <w:name w:val="page number"/>
    <w:basedOn w:val="DefaultParagraphFont"/>
    <w:uiPriority w:val="99"/>
    <w:semiHidden/>
    <w:unhideWhenUsed/>
    <w:rsid w:val="005E2FED"/>
  </w:style>
  <w:style w:type="paragraph" w:styleId="Header">
    <w:name w:val="header"/>
    <w:basedOn w:val="Normal"/>
    <w:link w:val="HeaderChar"/>
    <w:uiPriority w:val="99"/>
    <w:unhideWhenUsed/>
    <w:rsid w:val="005E2FED"/>
    <w:pPr>
      <w:tabs>
        <w:tab w:val="center" w:pos="4320"/>
        <w:tab w:val="right" w:pos="8640"/>
      </w:tabs>
    </w:pPr>
  </w:style>
  <w:style w:type="character" w:customStyle="1" w:styleId="HeaderChar">
    <w:name w:val="Header Char"/>
    <w:basedOn w:val="DefaultParagraphFont"/>
    <w:link w:val="Header"/>
    <w:uiPriority w:val="99"/>
    <w:rsid w:val="005E2FED"/>
    <w:rPr>
      <w:rFonts w:ascii="Times New Roman" w:hAnsi="Times New Roman"/>
      <w:lang w:val="en-GB"/>
    </w:rPr>
  </w:style>
  <w:style w:type="paragraph" w:styleId="Caption">
    <w:name w:val="caption"/>
    <w:basedOn w:val="Normal"/>
    <w:next w:val="Normal"/>
    <w:uiPriority w:val="35"/>
    <w:unhideWhenUsed/>
    <w:qFormat/>
    <w:rsid w:val="005E2FED"/>
    <w:pPr>
      <w:spacing w:after="200"/>
    </w:pPr>
    <w:rPr>
      <w:rFonts w:asciiTheme="minorHAnsi" w:eastAsiaTheme="minorHAnsi" w:hAnsiTheme="minorHAnsi"/>
      <w:b/>
      <w:bCs/>
      <w:color w:val="4F81BD" w:themeColor="accent1"/>
      <w:sz w:val="18"/>
      <w:szCs w:val="18"/>
      <w:lang w:eastAsia="en-US"/>
    </w:rPr>
  </w:style>
  <w:style w:type="paragraph" w:customStyle="1" w:styleId="SCHpapertitle">
    <w:name w:val="SCH paper title"/>
    <w:basedOn w:val="Normal"/>
    <w:next w:val="Normal"/>
    <w:uiPriority w:val="99"/>
    <w:rsid w:val="005E2FED"/>
    <w:pPr>
      <w:widowControl w:val="0"/>
      <w:suppressAutoHyphens/>
      <w:spacing w:line="480" w:lineRule="auto"/>
      <w:jc w:val="center"/>
    </w:pPr>
    <w:rPr>
      <w:rFonts w:eastAsia="Arial Unicode MS" w:cs="Times New Roman"/>
      <w:caps/>
      <w:kern w:val="1"/>
      <w:sz w:val="22"/>
      <w:lang w:eastAsia="en-GB"/>
    </w:rPr>
  </w:style>
  <w:style w:type="paragraph" w:customStyle="1" w:styleId="SCHfirstpara">
    <w:name w:val="SCH first para"/>
    <w:basedOn w:val="Normal"/>
    <w:qFormat/>
    <w:rsid w:val="005E2FED"/>
    <w:pPr>
      <w:tabs>
        <w:tab w:val="left" w:pos="0"/>
      </w:tabs>
      <w:spacing w:line="480" w:lineRule="auto"/>
    </w:pPr>
    <w:rPr>
      <w:rFonts w:cs="Times New Roman"/>
      <w:sz w:val="22"/>
      <w:szCs w:val="22"/>
    </w:rPr>
  </w:style>
  <w:style w:type="paragraph" w:customStyle="1" w:styleId="SCHfollowingpara">
    <w:name w:val="SCH following para"/>
    <w:basedOn w:val="SCHfirstpara"/>
    <w:qFormat/>
    <w:rsid w:val="006D18C7"/>
    <w:pPr>
      <w:ind w:firstLine="720"/>
    </w:pPr>
  </w:style>
  <w:style w:type="paragraph" w:customStyle="1" w:styleId="SCHdisplayedpara">
    <w:name w:val="SCH displayed para"/>
    <w:basedOn w:val="SCHfollowingpara"/>
    <w:qFormat/>
    <w:rsid w:val="006D18C7"/>
    <w:pPr>
      <w:ind w:left="720" w:firstLine="0"/>
    </w:pPr>
  </w:style>
  <w:style w:type="paragraph" w:customStyle="1" w:styleId="SCHfollowingdisplayedpara">
    <w:name w:val="SCH following displayed para"/>
    <w:basedOn w:val="SCHdisplayedpara"/>
    <w:qFormat/>
    <w:rsid w:val="005E2FED"/>
    <w:pPr>
      <w:ind w:firstLine="720"/>
    </w:pPr>
  </w:style>
  <w:style w:type="paragraph" w:customStyle="1" w:styleId="SCHfootnote">
    <w:name w:val="SCH footnote"/>
    <w:qFormat/>
    <w:rsid w:val="005E2FED"/>
    <w:pPr>
      <w:spacing w:line="480" w:lineRule="auto"/>
    </w:pPr>
    <w:rPr>
      <w:rFonts w:ascii="Times New Roman" w:hAnsi="Times New Roman" w:cs="Times New Roman"/>
      <w:sz w:val="20"/>
      <w:szCs w:val="22"/>
      <w:lang w:val="en-GB"/>
    </w:rPr>
  </w:style>
  <w:style w:type="paragraph" w:styleId="NoSpacing">
    <w:name w:val="No Spacing"/>
    <w:uiPriority w:val="1"/>
    <w:qFormat/>
    <w:rsid w:val="00A51E6E"/>
    <w:rPr>
      <w:rFonts w:ascii="Calibri" w:eastAsia="Calibri" w:hAnsi="Calibri" w:cs="Times New Roman"/>
      <w:sz w:val="22"/>
      <w:szCs w:val="22"/>
      <w:lang w:val="en-GB" w:eastAsia="en-US"/>
    </w:rPr>
  </w:style>
  <w:style w:type="character" w:customStyle="1" w:styleId="details-biblio-hidden-view-list2">
    <w:name w:val="details-biblio-hidden-view-list2"/>
    <w:basedOn w:val="DefaultParagraphFont"/>
    <w:rsid w:val="00A51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ED"/>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E2FED"/>
    <w:rPr>
      <w:rFonts w:ascii="Times" w:hAnsi="Times"/>
      <w:sz w:val="20"/>
      <w:vertAlign w:val="superscript"/>
    </w:rPr>
  </w:style>
  <w:style w:type="paragraph" w:styleId="ListParagraph">
    <w:name w:val="List Paragraph"/>
    <w:basedOn w:val="Normal"/>
    <w:uiPriority w:val="34"/>
    <w:qFormat/>
    <w:rsid w:val="005E2FED"/>
    <w:pPr>
      <w:ind w:left="720"/>
      <w:contextualSpacing/>
    </w:pPr>
  </w:style>
  <w:style w:type="paragraph" w:styleId="FootnoteText">
    <w:name w:val="footnote text"/>
    <w:basedOn w:val="Normal"/>
    <w:link w:val="FootnoteTextChar"/>
    <w:uiPriority w:val="99"/>
    <w:unhideWhenUsed/>
    <w:rsid w:val="005E2FED"/>
  </w:style>
  <w:style w:type="character" w:customStyle="1" w:styleId="FootnoteTextChar">
    <w:name w:val="Footnote Text Char"/>
    <w:basedOn w:val="DefaultParagraphFont"/>
    <w:link w:val="FootnoteText"/>
    <w:uiPriority w:val="99"/>
    <w:rsid w:val="005E2FED"/>
    <w:rPr>
      <w:rFonts w:ascii="Times New Roman" w:hAnsi="Times New Roman"/>
      <w:lang w:val="en-GB"/>
    </w:rPr>
  </w:style>
  <w:style w:type="character" w:styleId="CommentReference">
    <w:name w:val="annotation reference"/>
    <w:basedOn w:val="DefaultParagraphFont"/>
    <w:uiPriority w:val="99"/>
    <w:semiHidden/>
    <w:unhideWhenUsed/>
    <w:rsid w:val="005E2FED"/>
    <w:rPr>
      <w:sz w:val="18"/>
      <w:szCs w:val="18"/>
    </w:rPr>
  </w:style>
  <w:style w:type="paragraph" w:styleId="CommentText">
    <w:name w:val="annotation text"/>
    <w:basedOn w:val="Normal"/>
    <w:link w:val="CommentTextChar"/>
    <w:uiPriority w:val="99"/>
    <w:semiHidden/>
    <w:unhideWhenUsed/>
    <w:rsid w:val="005E2FED"/>
  </w:style>
  <w:style w:type="character" w:customStyle="1" w:styleId="CommentTextChar">
    <w:name w:val="Comment Text Char"/>
    <w:basedOn w:val="DefaultParagraphFont"/>
    <w:link w:val="CommentText"/>
    <w:uiPriority w:val="99"/>
    <w:semiHidden/>
    <w:rsid w:val="005E2FED"/>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E2FED"/>
    <w:rPr>
      <w:b/>
      <w:bCs/>
      <w:sz w:val="20"/>
      <w:szCs w:val="20"/>
    </w:rPr>
  </w:style>
  <w:style w:type="character" w:customStyle="1" w:styleId="CommentSubjectChar">
    <w:name w:val="Comment Subject Char"/>
    <w:basedOn w:val="CommentTextChar"/>
    <w:link w:val="CommentSubject"/>
    <w:uiPriority w:val="99"/>
    <w:semiHidden/>
    <w:rsid w:val="005E2FED"/>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5E2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FED"/>
    <w:rPr>
      <w:rFonts w:ascii="Lucida Grande" w:hAnsi="Lucida Grande" w:cs="Lucida Grande"/>
      <w:sz w:val="18"/>
      <w:szCs w:val="18"/>
      <w:lang w:val="en-GB"/>
    </w:rPr>
  </w:style>
  <w:style w:type="character" w:customStyle="1" w:styleId="apple-converted-space">
    <w:name w:val="apple-converted-space"/>
    <w:basedOn w:val="DefaultParagraphFont"/>
    <w:rsid w:val="005E2FED"/>
  </w:style>
  <w:style w:type="paragraph" w:styleId="NormalWeb">
    <w:name w:val="Normal (Web)"/>
    <w:basedOn w:val="Normal"/>
    <w:uiPriority w:val="99"/>
    <w:unhideWhenUsed/>
    <w:rsid w:val="005E2FED"/>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5E2FED"/>
    <w:rPr>
      <w:color w:val="0000FF"/>
      <w:u w:val="single"/>
    </w:rPr>
  </w:style>
  <w:style w:type="character" w:styleId="Emphasis">
    <w:name w:val="Emphasis"/>
    <w:basedOn w:val="DefaultParagraphFont"/>
    <w:uiPriority w:val="20"/>
    <w:qFormat/>
    <w:rsid w:val="005E2FED"/>
    <w:rPr>
      <w:i/>
      <w:iCs/>
    </w:rPr>
  </w:style>
  <w:style w:type="character" w:customStyle="1" w:styleId="roman">
    <w:name w:val="roman"/>
    <w:basedOn w:val="DefaultParagraphFont"/>
    <w:rsid w:val="005E2FED"/>
  </w:style>
  <w:style w:type="character" w:customStyle="1" w:styleId="headword">
    <w:name w:val="headword"/>
    <w:basedOn w:val="DefaultParagraphFont"/>
    <w:rsid w:val="005E2FED"/>
  </w:style>
  <w:style w:type="paragraph" w:styleId="Footer">
    <w:name w:val="footer"/>
    <w:basedOn w:val="Normal"/>
    <w:link w:val="FooterChar"/>
    <w:uiPriority w:val="99"/>
    <w:unhideWhenUsed/>
    <w:rsid w:val="005E2FED"/>
    <w:pPr>
      <w:tabs>
        <w:tab w:val="center" w:pos="4320"/>
        <w:tab w:val="right" w:pos="8640"/>
      </w:tabs>
    </w:pPr>
  </w:style>
  <w:style w:type="character" w:customStyle="1" w:styleId="FooterChar">
    <w:name w:val="Footer Char"/>
    <w:basedOn w:val="DefaultParagraphFont"/>
    <w:link w:val="Footer"/>
    <w:uiPriority w:val="99"/>
    <w:rsid w:val="005E2FED"/>
    <w:rPr>
      <w:rFonts w:ascii="Times New Roman" w:hAnsi="Times New Roman"/>
      <w:lang w:val="en-GB"/>
    </w:rPr>
  </w:style>
  <w:style w:type="character" w:styleId="PageNumber">
    <w:name w:val="page number"/>
    <w:basedOn w:val="DefaultParagraphFont"/>
    <w:uiPriority w:val="99"/>
    <w:semiHidden/>
    <w:unhideWhenUsed/>
    <w:rsid w:val="005E2FED"/>
  </w:style>
  <w:style w:type="paragraph" w:styleId="Header">
    <w:name w:val="header"/>
    <w:basedOn w:val="Normal"/>
    <w:link w:val="HeaderChar"/>
    <w:uiPriority w:val="99"/>
    <w:unhideWhenUsed/>
    <w:rsid w:val="005E2FED"/>
    <w:pPr>
      <w:tabs>
        <w:tab w:val="center" w:pos="4320"/>
        <w:tab w:val="right" w:pos="8640"/>
      </w:tabs>
    </w:pPr>
  </w:style>
  <w:style w:type="character" w:customStyle="1" w:styleId="HeaderChar">
    <w:name w:val="Header Char"/>
    <w:basedOn w:val="DefaultParagraphFont"/>
    <w:link w:val="Header"/>
    <w:uiPriority w:val="99"/>
    <w:rsid w:val="005E2FED"/>
    <w:rPr>
      <w:rFonts w:ascii="Times New Roman" w:hAnsi="Times New Roman"/>
      <w:lang w:val="en-GB"/>
    </w:rPr>
  </w:style>
  <w:style w:type="paragraph" w:styleId="Caption">
    <w:name w:val="caption"/>
    <w:basedOn w:val="Normal"/>
    <w:next w:val="Normal"/>
    <w:uiPriority w:val="35"/>
    <w:unhideWhenUsed/>
    <w:qFormat/>
    <w:rsid w:val="005E2FED"/>
    <w:pPr>
      <w:spacing w:after="200"/>
    </w:pPr>
    <w:rPr>
      <w:rFonts w:asciiTheme="minorHAnsi" w:eastAsiaTheme="minorHAnsi" w:hAnsiTheme="minorHAnsi"/>
      <w:b/>
      <w:bCs/>
      <w:color w:val="4F81BD" w:themeColor="accent1"/>
      <w:sz w:val="18"/>
      <w:szCs w:val="18"/>
      <w:lang w:eastAsia="en-US"/>
    </w:rPr>
  </w:style>
  <w:style w:type="paragraph" w:customStyle="1" w:styleId="SCHpapertitle">
    <w:name w:val="SCH paper title"/>
    <w:basedOn w:val="Normal"/>
    <w:next w:val="Normal"/>
    <w:uiPriority w:val="99"/>
    <w:rsid w:val="005E2FED"/>
    <w:pPr>
      <w:widowControl w:val="0"/>
      <w:suppressAutoHyphens/>
      <w:spacing w:line="480" w:lineRule="auto"/>
      <w:jc w:val="center"/>
    </w:pPr>
    <w:rPr>
      <w:rFonts w:eastAsia="Arial Unicode MS" w:cs="Times New Roman"/>
      <w:caps/>
      <w:kern w:val="1"/>
      <w:sz w:val="22"/>
      <w:lang w:eastAsia="en-GB"/>
    </w:rPr>
  </w:style>
  <w:style w:type="paragraph" w:customStyle="1" w:styleId="SCHfirstpara">
    <w:name w:val="SCH first para"/>
    <w:basedOn w:val="Normal"/>
    <w:qFormat/>
    <w:rsid w:val="005E2FED"/>
    <w:pPr>
      <w:tabs>
        <w:tab w:val="left" w:pos="0"/>
      </w:tabs>
      <w:spacing w:line="480" w:lineRule="auto"/>
    </w:pPr>
    <w:rPr>
      <w:rFonts w:cs="Times New Roman"/>
      <w:sz w:val="22"/>
      <w:szCs w:val="22"/>
    </w:rPr>
  </w:style>
  <w:style w:type="paragraph" w:customStyle="1" w:styleId="SCHfollowingpara">
    <w:name w:val="SCH following para"/>
    <w:basedOn w:val="SCHfirstpara"/>
    <w:qFormat/>
    <w:rsid w:val="006D18C7"/>
    <w:pPr>
      <w:ind w:firstLine="720"/>
    </w:pPr>
  </w:style>
  <w:style w:type="paragraph" w:customStyle="1" w:styleId="SCHdisplayedpara">
    <w:name w:val="SCH displayed para"/>
    <w:basedOn w:val="SCHfollowingpara"/>
    <w:qFormat/>
    <w:rsid w:val="006D18C7"/>
    <w:pPr>
      <w:ind w:left="720" w:firstLine="0"/>
    </w:pPr>
  </w:style>
  <w:style w:type="paragraph" w:customStyle="1" w:styleId="SCHfollowingdisplayedpara">
    <w:name w:val="SCH following displayed para"/>
    <w:basedOn w:val="SCHdisplayedpara"/>
    <w:qFormat/>
    <w:rsid w:val="005E2FED"/>
    <w:pPr>
      <w:ind w:firstLine="720"/>
    </w:pPr>
  </w:style>
  <w:style w:type="paragraph" w:customStyle="1" w:styleId="SCHfootnote">
    <w:name w:val="SCH footnote"/>
    <w:qFormat/>
    <w:rsid w:val="005E2FED"/>
    <w:pPr>
      <w:spacing w:line="480" w:lineRule="auto"/>
    </w:pPr>
    <w:rPr>
      <w:rFonts w:ascii="Times New Roman" w:hAnsi="Times New Roman" w:cs="Times New Roman"/>
      <w:sz w:val="20"/>
      <w:szCs w:val="22"/>
      <w:lang w:val="en-GB"/>
    </w:rPr>
  </w:style>
  <w:style w:type="paragraph" w:styleId="NoSpacing">
    <w:name w:val="No Spacing"/>
    <w:uiPriority w:val="1"/>
    <w:qFormat/>
    <w:rsid w:val="00A51E6E"/>
    <w:rPr>
      <w:rFonts w:ascii="Calibri" w:eastAsia="Calibri" w:hAnsi="Calibri" w:cs="Times New Roman"/>
      <w:sz w:val="22"/>
      <w:szCs w:val="22"/>
      <w:lang w:val="en-GB" w:eastAsia="en-US"/>
    </w:rPr>
  </w:style>
  <w:style w:type="character" w:customStyle="1" w:styleId="details-biblio-hidden-view-list2">
    <w:name w:val="details-biblio-hidden-view-list2"/>
    <w:basedOn w:val="DefaultParagraphFont"/>
    <w:rsid w:val="00A5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354">
      <w:bodyDiv w:val="1"/>
      <w:marLeft w:val="0"/>
      <w:marRight w:val="0"/>
      <w:marTop w:val="0"/>
      <w:marBottom w:val="0"/>
      <w:divBdr>
        <w:top w:val="none" w:sz="0" w:space="0" w:color="auto"/>
        <w:left w:val="none" w:sz="0" w:space="0" w:color="auto"/>
        <w:bottom w:val="none" w:sz="0" w:space="0" w:color="auto"/>
        <w:right w:val="none" w:sz="0" w:space="0" w:color="auto"/>
      </w:divBdr>
    </w:div>
    <w:div w:id="459618120">
      <w:bodyDiv w:val="1"/>
      <w:marLeft w:val="0"/>
      <w:marRight w:val="0"/>
      <w:marTop w:val="0"/>
      <w:marBottom w:val="0"/>
      <w:divBdr>
        <w:top w:val="none" w:sz="0" w:space="0" w:color="auto"/>
        <w:left w:val="none" w:sz="0" w:space="0" w:color="auto"/>
        <w:bottom w:val="none" w:sz="0" w:space="0" w:color="auto"/>
        <w:right w:val="none" w:sz="0" w:space="0" w:color="auto"/>
      </w:divBdr>
    </w:div>
    <w:div w:id="566719697">
      <w:bodyDiv w:val="1"/>
      <w:marLeft w:val="0"/>
      <w:marRight w:val="0"/>
      <w:marTop w:val="0"/>
      <w:marBottom w:val="0"/>
      <w:divBdr>
        <w:top w:val="none" w:sz="0" w:space="0" w:color="auto"/>
        <w:left w:val="none" w:sz="0" w:space="0" w:color="auto"/>
        <w:bottom w:val="none" w:sz="0" w:space="0" w:color="auto"/>
        <w:right w:val="none" w:sz="0" w:space="0" w:color="auto"/>
      </w:divBdr>
    </w:div>
    <w:div w:id="711922327">
      <w:bodyDiv w:val="1"/>
      <w:marLeft w:val="0"/>
      <w:marRight w:val="0"/>
      <w:marTop w:val="0"/>
      <w:marBottom w:val="0"/>
      <w:divBdr>
        <w:top w:val="none" w:sz="0" w:space="0" w:color="auto"/>
        <w:left w:val="none" w:sz="0" w:space="0" w:color="auto"/>
        <w:bottom w:val="none" w:sz="0" w:space="0" w:color="auto"/>
        <w:right w:val="none" w:sz="0" w:space="0" w:color="auto"/>
      </w:divBdr>
    </w:div>
    <w:div w:id="728383295">
      <w:bodyDiv w:val="1"/>
      <w:marLeft w:val="0"/>
      <w:marRight w:val="0"/>
      <w:marTop w:val="0"/>
      <w:marBottom w:val="0"/>
      <w:divBdr>
        <w:top w:val="none" w:sz="0" w:space="0" w:color="auto"/>
        <w:left w:val="none" w:sz="0" w:space="0" w:color="auto"/>
        <w:bottom w:val="none" w:sz="0" w:space="0" w:color="auto"/>
        <w:right w:val="none" w:sz="0" w:space="0" w:color="auto"/>
      </w:divBdr>
    </w:div>
    <w:div w:id="888151128">
      <w:bodyDiv w:val="1"/>
      <w:marLeft w:val="0"/>
      <w:marRight w:val="0"/>
      <w:marTop w:val="0"/>
      <w:marBottom w:val="0"/>
      <w:divBdr>
        <w:top w:val="none" w:sz="0" w:space="0" w:color="auto"/>
        <w:left w:val="none" w:sz="0" w:space="0" w:color="auto"/>
        <w:bottom w:val="none" w:sz="0" w:space="0" w:color="auto"/>
        <w:right w:val="none" w:sz="0" w:space="0" w:color="auto"/>
      </w:divBdr>
    </w:div>
    <w:div w:id="920681697">
      <w:bodyDiv w:val="1"/>
      <w:marLeft w:val="0"/>
      <w:marRight w:val="0"/>
      <w:marTop w:val="0"/>
      <w:marBottom w:val="0"/>
      <w:divBdr>
        <w:top w:val="none" w:sz="0" w:space="0" w:color="auto"/>
        <w:left w:val="none" w:sz="0" w:space="0" w:color="auto"/>
        <w:bottom w:val="none" w:sz="0" w:space="0" w:color="auto"/>
        <w:right w:val="none" w:sz="0" w:space="0" w:color="auto"/>
      </w:divBdr>
    </w:div>
    <w:div w:id="184924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ropbox\SCH\SCH%2052%20-%20dropbox\SCH%20template%20for%20CUP%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7F3E-AB25-473E-BDE7-191EFE06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 template for CUP v.2</Template>
  <TotalTime>0</TotalTime>
  <Pages>18</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cp:lastModifiedBy>
  <cp:revision>2</cp:revision>
  <dcterms:created xsi:type="dcterms:W3CDTF">2016-09-08T15:39:00Z</dcterms:created>
  <dcterms:modified xsi:type="dcterms:W3CDTF">2016-09-08T15:39:00Z</dcterms:modified>
</cp:coreProperties>
</file>